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823B" w14:textId="00DECE6E" w:rsidR="00BF4406" w:rsidRDefault="006E51B3" w:rsidP="006E51B3">
      <w:pPr>
        <w:jc w:val="center"/>
        <w:rPr>
          <w:rFonts w:asciiTheme="majorHAnsi" w:hAnsiTheme="majorHAnsi" w:cstheme="majorHAnsi"/>
          <w:b/>
          <w:sz w:val="32"/>
        </w:rPr>
      </w:pPr>
      <w:r w:rsidRPr="006E51B3">
        <w:rPr>
          <w:rFonts w:asciiTheme="majorHAnsi" w:hAnsiTheme="majorHAnsi" w:cstheme="majorHAnsi"/>
          <w:b/>
          <w:sz w:val="32"/>
        </w:rPr>
        <w:t>AKREDITIRANJE KONTROLNIH ORGANOV S PODORČJA MEROSLOVJA - IMENOVANIH OSEB MIRS-a</w:t>
      </w:r>
      <w:r w:rsidR="00BF4406">
        <w:rPr>
          <w:rFonts w:asciiTheme="majorHAnsi" w:hAnsiTheme="majorHAnsi" w:cstheme="majorHAnsi"/>
          <w:b/>
          <w:sz w:val="32"/>
        </w:rPr>
        <w:t xml:space="preserve"> </w:t>
      </w:r>
    </w:p>
    <w:p w14:paraId="524CD10F" w14:textId="4718BA0E" w:rsidR="006E51B3" w:rsidRDefault="00BF4406" w:rsidP="006E51B3">
      <w:pPr>
        <w:jc w:val="center"/>
        <w:rPr>
          <w:rFonts w:asciiTheme="majorHAnsi" w:hAnsiTheme="majorHAnsi" w:cstheme="majorHAnsi"/>
          <w:b/>
          <w:sz w:val="32"/>
        </w:rPr>
      </w:pPr>
      <w:r>
        <w:rPr>
          <w:rFonts w:asciiTheme="majorHAnsi" w:hAnsiTheme="majorHAnsi" w:cstheme="majorHAnsi"/>
          <w:b/>
          <w:sz w:val="32"/>
        </w:rPr>
        <w:t>Vprašanja in odgovori</w:t>
      </w:r>
    </w:p>
    <w:p w14:paraId="67FD114D" w14:textId="77777777" w:rsidR="006E51B3" w:rsidRPr="006E51B3" w:rsidRDefault="006E51B3" w:rsidP="006E51B3">
      <w:pPr>
        <w:jc w:val="center"/>
        <w:rPr>
          <w:rFonts w:asciiTheme="majorHAnsi" w:hAnsiTheme="majorHAnsi" w:cstheme="majorHAnsi"/>
          <w:b/>
          <w:sz w:val="6"/>
        </w:rPr>
      </w:pPr>
    </w:p>
    <w:tbl>
      <w:tblPr>
        <w:tblStyle w:val="Tabelamrea"/>
        <w:tblW w:w="15702" w:type="dxa"/>
        <w:jc w:val="center"/>
        <w:tblLook w:val="04A0" w:firstRow="1" w:lastRow="0" w:firstColumn="1" w:lastColumn="0" w:noHBand="0" w:noVBand="1"/>
      </w:tblPr>
      <w:tblGrid>
        <w:gridCol w:w="2972"/>
        <w:gridCol w:w="5690"/>
        <w:gridCol w:w="7040"/>
      </w:tblGrid>
      <w:tr w:rsidR="00BF4406" w:rsidRPr="00FD130D" w14:paraId="6395E630" w14:textId="77777777" w:rsidTr="00BF4406">
        <w:trPr>
          <w:trHeight w:val="586"/>
          <w:tblHeader/>
          <w:jc w:val="center"/>
        </w:trPr>
        <w:tc>
          <w:tcPr>
            <w:tcW w:w="15702" w:type="dxa"/>
            <w:gridSpan w:val="3"/>
            <w:shd w:val="clear" w:color="auto" w:fill="BF8F00" w:themeFill="accent4" w:themeFillShade="BF"/>
            <w:vAlign w:val="center"/>
          </w:tcPr>
          <w:p w14:paraId="4843941D" w14:textId="77777777" w:rsidR="00BF4406" w:rsidRPr="00FD130D" w:rsidRDefault="00BF4406" w:rsidP="00A87CAF">
            <w:pPr>
              <w:jc w:val="center"/>
              <w:rPr>
                <w:b/>
              </w:rPr>
            </w:pPr>
            <w:r>
              <w:rPr>
                <w:b/>
              </w:rPr>
              <w:t>TEHNIČNE ZAHTEVE</w:t>
            </w:r>
          </w:p>
        </w:tc>
      </w:tr>
      <w:tr w:rsidR="00BF4406" w:rsidRPr="00BC2EF6" w14:paraId="461963AC" w14:textId="77777777" w:rsidTr="00BF4406">
        <w:trPr>
          <w:trHeight w:val="566"/>
          <w:tblHeader/>
          <w:jc w:val="center"/>
        </w:trPr>
        <w:tc>
          <w:tcPr>
            <w:tcW w:w="8662" w:type="dxa"/>
            <w:gridSpan w:val="2"/>
            <w:shd w:val="clear" w:color="auto" w:fill="D9E2F3" w:themeFill="accent1" w:themeFillTint="33"/>
            <w:vAlign w:val="center"/>
          </w:tcPr>
          <w:p w14:paraId="1B8CE140" w14:textId="77777777" w:rsidR="00BF4406" w:rsidRPr="00BC2EF6" w:rsidRDefault="00BF4406" w:rsidP="008F14D0">
            <w:pPr>
              <w:jc w:val="center"/>
              <w:rPr>
                <w:b/>
              </w:rPr>
            </w:pPr>
            <w:r>
              <w:rPr>
                <w:b/>
              </w:rPr>
              <w:t>Vprašanje, nejasnost</w:t>
            </w:r>
          </w:p>
        </w:tc>
        <w:tc>
          <w:tcPr>
            <w:tcW w:w="7040" w:type="dxa"/>
            <w:shd w:val="clear" w:color="auto" w:fill="D9E2F3" w:themeFill="accent1" w:themeFillTint="33"/>
            <w:vAlign w:val="center"/>
          </w:tcPr>
          <w:p w14:paraId="06AA15F7" w14:textId="77777777" w:rsidR="00BF4406" w:rsidRPr="00BC2EF6" w:rsidRDefault="00BF4406" w:rsidP="008F14D0">
            <w:pPr>
              <w:jc w:val="center"/>
              <w:rPr>
                <w:b/>
              </w:rPr>
            </w:pPr>
            <w:r>
              <w:rPr>
                <w:b/>
              </w:rPr>
              <w:t>Dogovor MIRS-SA. Usmeritev za ocenjevanja SA</w:t>
            </w:r>
          </w:p>
        </w:tc>
      </w:tr>
      <w:tr w:rsidR="00BF4406" w:rsidRPr="00FD130D" w14:paraId="530E4E65" w14:textId="77777777" w:rsidTr="00D51117">
        <w:trPr>
          <w:trHeight w:val="591"/>
          <w:jc w:val="center"/>
        </w:trPr>
        <w:tc>
          <w:tcPr>
            <w:tcW w:w="15702" w:type="dxa"/>
            <w:gridSpan w:val="3"/>
            <w:shd w:val="clear" w:color="auto" w:fill="FFFF00"/>
            <w:vAlign w:val="center"/>
          </w:tcPr>
          <w:p w14:paraId="58410FF7" w14:textId="77777777" w:rsidR="00BF4406" w:rsidRPr="00FD130D" w:rsidRDefault="00BF4406" w:rsidP="009166FA">
            <w:pPr>
              <w:jc w:val="center"/>
              <w:rPr>
                <w:b/>
              </w:rPr>
            </w:pPr>
            <w:r w:rsidRPr="00FD130D">
              <w:rPr>
                <w:b/>
              </w:rPr>
              <w:t>VODOMERI</w:t>
            </w:r>
            <w:r>
              <w:rPr>
                <w:b/>
              </w:rPr>
              <w:t>, PLINOMERI, KOREKTORJI, MERILNIKI TOPLOTNE ENERGIJE</w:t>
            </w:r>
          </w:p>
        </w:tc>
      </w:tr>
      <w:tr w:rsidR="00BC2EF6" w14:paraId="6470EF28" w14:textId="77777777" w:rsidTr="00A1516C">
        <w:trPr>
          <w:trHeight w:val="567"/>
          <w:jc w:val="center"/>
        </w:trPr>
        <w:tc>
          <w:tcPr>
            <w:tcW w:w="2972" w:type="dxa"/>
          </w:tcPr>
          <w:p w14:paraId="3FEAEB4D" w14:textId="77777777" w:rsidR="00BC2EF6" w:rsidRPr="00D166F5" w:rsidRDefault="00BC2EF6" w:rsidP="00A32C52">
            <w:bookmarkStart w:id="0" w:name="_Hlk5371245"/>
            <w:bookmarkStart w:id="1" w:name="_Hlk5371211"/>
            <w:r w:rsidRPr="00A32C52">
              <w:rPr>
                <w:b/>
              </w:rPr>
              <w:t>Vodomeri</w:t>
            </w:r>
            <w:r w:rsidRPr="00D166F5">
              <w:t xml:space="preserve">: preverjanje skladnosti s tipom pri izrednih overitvah </w:t>
            </w:r>
          </w:p>
        </w:tc>
        <w:tc>
          <w:tcPr>
            <w:tcW w:w="5690" w:type="dxa"/>
          </w:tcPr>
          <w:p w14:paraId="3251B7B9" w14:textId="77777777" w:rsidR="00CC4957" w:rsidRDefault="00F525A2">
            <w:r>
              <w:t xml:space="preserve">Pri </w:t>
            </w:r>
            <w:r w:rsidR="004B07BF">
              <w:t>servis</w:t>
            </w:r>
            <w:r>
              <w:t>u</w:t>
            </w:r>
            <w:r w:rsidR="004B07BF">
              <w:t xml:space="preserve"> vodomerov </w:t>
            </w:r>
            <w:r>
              <w:t xml:space="preserve">se pogosto </w:t>
            </w:r>
            <w:r w:rsidR="004B07BF">
              <w:t>zamenja merilni vložek</w:t>
            </w:r>
            <w:r>
              <w:t>. T</w:t>
            </w:r>
            <w:r w:rsidR="00CC4957">
              <w:t>ovrstnemu</w:t>
            </w:r>
            <w:r>
              <w:t xml:space="preserve"> servisu mora slediti izredna overitev. </w:t>
            </w:r>
          </w:p>
          <w:p w14:paraId="04020A61" w14:textId="77777777" w:rsidR="004B07BF" w:rsidRDefault="00F525A2">
            <w:r>
              <w:t>Pojavlja se vprašanje</w:t>
            </w:r>
            <w:r w:rsidR="004B07BF">
              <w:t xml:space="preserve">, </w:t>
            </w:r>
            <w:r>
              <w:t>ali nov</w:t>
            </w:r>
            <w:r w:rsidR="00CC4957">
              <w:t>i</w:t>
            </w:r>
            <w:r>
              <w:t xml:space="preserve"> merilni vložek odgovarja odobrenemu tipu vodomera.</w:t>
            </w:r>
          </w:p>
        </w:tc>
        <w:tc>
          <w:tcPr>
            <w:tcW w:w="7040" w:type="dxa"/>
          </w:tcPr>
          <w:p w14:paraId="5D54DA5E" w14:textId="77777777" w:rsidR="00370ABA" w:rsidRDefault="00241F14" w:rsidP="002866E3">
            <w:r>
              <w:t>Preverimo, ali so r</w:t>
            </w:r>
            <w:r w:rsidR="004B07BF">
              <w:t xml:space="preserve">ezervni </w:t>
            </w:r>
            <w:r w:rsidR="00F525A2">
              <w:t xml:space="preserve">deli </w:t>
            </w:r>
            <w:r w:rsidR="004B07BF" w:rsidRPr="00836816">
              <w:rPr>
                <w:b/>
              </w:rPr>
              <w:t>istovrstn</w:t>
            </w:r>
            <w:r w:rsidR="00836816" w:rsidRPr="00836816">
              <w:rPr>
                <w:b/>
              </w:rPr>
              <w:t>i</w:t>
            </w:r>
            <w:r w:rsidR="00836816">
              <w:t xml:space="preserve"> s</w:t>
            </w:r>
            <w:r w:rsidR="004B07BF">
              <w:t xml:space="preserve"> tisti</w:t>
            </w:r>
            <w:r w:rsidR="00836816">
              <w:t>mi</w:t>
            </w:r>
            <w:r w:rsidR="004B07BF">
              <w:t>, ki so bili vgrajeni v tipsko odob</w:t>
            </w:r>
            <w:r w:rsidR="00836816">
              <w:t>ren izdelek</w:t>
            </w:r>
            <w:r w:rsidR="004B07BF">
              <w:t>.</w:t>
            </w:r>
            <w:r w:rsidR="00154A58">
              <w:t xml:space="preserve"> Pozornost posvetiti:</w:t>
            </w:r>
          </w:p>
          <w:p w14:paraId="1B4A2BA8" w14:textId="77777777" w:rsidR="004B07BF" w:rsidRDefault="00836816" w:rsidP="002866E3">
            <w:r>
              <w:t xml:space="preserve">- dokazila o </w:t>
            </w:r>
            <w:r w:rsidR="00F525A2">
              <w:t xml:space="preserve">poreklu </w:t>
            </w:r>
            <w:r>
              <w:t>vgrajenih del</w:t>
            </w:r>
            <w:r w:rsidR="00F525A2">
              <w:t>ov</w:t>
            </w:r>
          </w:p>
          <w:p w14:paraId="077987E7" w14:textId="77777777" w:rsidR="00836816" w:rsidRDefault="001957B5" w:rsidP="002866E3">
            <w:r>
              <w:t>- dostopnost* odobritev</w:t>
            </w:r>
            <w:r w:rsidR="00836816">
              <w:t xml:space="preserve"> tipa</w:t>
            </w:r>
          </w:p>
          <w:p w14:paraId="5C5F616A" w14:textId="77777777" w:rsidR="00836816" w:rsidRDefault="00836816" w:rsidP="002866E3"/>
          <w:p w14:paraId="5228F7B3" w14:textId="77777777" w:rsidR="004B07BF" w:rsidRDefault="001957B5" w:rsidP="002866E3">
            <w:r>
              <w:t>*</w:t>
            </w:r>
            <w:r w:rsidR="004B07BF">
              <w:t xml:space="preserve">V bazi Urada so le </w:t>
            </w:r>
            <w:r w:rsidR="00CC4957">
              <w:t>(</w:t>
            </w:r>
            <w:proofErr w:type="spellStart"/>
            <w:r w:rsidR="004B07BF">
              <w:t>Uradove</w:t>
            </w:r>
            <w:proofErr w:type="spellEnd"/>
            <w:r w:rsidR="00CC4957">
              <w:t>)</w:t>
            </w:r>
            <w:r w:rsidR="004B07BF">
              <w:t xml:space="preserve"> odobritve tipa (in ex YU). MID-</w:t>
            </w:r>
            <w:r w:rsidR="00836816">
              <w:t>ove odobritve tipa so načeloma dostopne.</w:t>
            </w:r>
          </w:p>
          <w:p w14:paraId="08B35FDA" w14:textId="77777777" w:rsidR="004B07BF" w:rsidRDefault="004B07BF" w:rsidP="002866E3"/>
        </w:tc>
      </w:tr>
      <w:tr w:rsidR="00B876B2" w14:paraId="282D9394" w14:textId="77777777" w:rsidTr="00A1516C">
        <w:trPr>
          <w:trHeight w:val="567"/>
          <w:jc w:val="center"/>
        </w:trPr>
        <w:tc>
          <w:tcPr>
            <w:tcW w:w="2972" w:type="dxa"/>
          </w:tcPr>
          <w:p w14:paraId="6F3AC0FC" w14:textId="7460967F" w:rsidR="00B876B2" w:rsidRPr="00A32C52" w:rsidRDefault="00B876B2" w:rsidP="00A32C52">
            <w:pPr>
              <w:rPr>
                <w:b/>
              </w:rPr>
            </w:pPr>
            <w:r w:rsidRPr="00A32C52">
              <w:rPr>
                <w:b/>
              </w:rPr>
              <w:t>Vodomeri</w:t>
            </w:r>
            <w:r w:rsidRPr="00D166F5">
              <w:t xml:space="preserve">: </w:t>
            </w:r>
            <w:r>
              <w:t>vgradnja sestavnih delov, ki niso določeni v odobritvi tipa</w:t>
            </w:r>
          </w:p>
        </w:tc>
        <w:tc>
          <w:tcPr>
            <w:tcW w:w="5690" w:type="dxa"/>
          </w:tcPr>
          <w:p w14:paraId="3389531C" w14:textId="44A6F524" w:rsidR="00B876B2" w:rsidRDefault="00B876B2">
            <w:r w:rsidRPr="00B876B2">
              <w:t>Za primer kombiniranega vodomera (</w:t>
            </w:r>
            <w:proofErr w:type="spellStart"/>
            <w:r w:rsidRPr="00B876B2">
              <w:t>Maddalena</w:t>
            </w:r>
            <w:proofErr w:type="spellEnd"/>
            <w:r>
              <w:t>,</w:t>
            </w:r>
            <w:r w:rsidRPr="00B876B2">
              <w:t xml:space="preserve"> WPV-MFD DN50 ) po besedah KO primernih vložkov (manjših vodomerov) ni mogoče kupiti z EEC (SI) odobritvijo tipa, kot jo ima kombiniran vodomer, ampak le z MID odobritvijo. </w:t>
            </w:r>
          </w:p>
          <w:p w14:paraId="11F27577" w14:textId="77777777" w:rsidR="00B876B2" w:rsidRDefault="00B876B2">
            <w:r>
              <w:t xml:space="preserve">- </w:t>
            </w:r>
            <w:r w:rsidRPr="00B876B2">
              <w:t xml:space="preserve">Ali se lahko tovrstni vložki odobreni po MID-u vgrajujejo v kombiniran vodomer? </w:t>
            </w:r>
          </w:p>
          <w:p w14:paraId="4D6FA126" w14:textId="77777777" w:rsidR="00B876B2" w:rsidRDefault="00B876B2">
            <w:r>
              <w:t xml:space="preserve">- </w:t>
            </w:r>
            <w:r w:rsidRPr="00B876B2">
              <w:t>Če se pretoki iz odobritve tipa kombiniranega vodomera in pretoki iz MID odobritve tipa ne skladajo, je potrebno overitev »vložka« izvesti ponovno v ločenem ohišju?</w:t>
            </w:r>
          </w:p>
          <w:p w14:paraId="3C0A81BA" w14:textId="387A788E" w:rsidR="00B876B2" w:rsidRDefault="00B876B2"/>
        </w:tc>
        <w:tc>
          <w:tcPr>
            <w:tcW w:w="7040" w:type="dxa"/>
          </w:tcPr>
          <w:p w14:paraId="19BFBA45" w14:textId="77777777" w:rsidR="00B876B2" w:rsidRDefault="00B876B2" w:rsidP="002866E3">
            <w:r w:rsidRPr="00B876B2">
              <w:t>Vodomere se lahko overja le v skladu z odobritvijo tipa. Če za kombiniran vodomer z odobritvijo tipa po EEC ni mogoče dobiti sestavnih delov, ki so določeni v odobritvi tipa, takšnega vodomera po servisu ni mogoče overiti.</w:t>
            </w:r>
          </w:p>
          <w:p w14:paraId="43CA801D" w14:textId="77777777" w:rsidR="00B876B2" w:rsidRDefault="00B876B2" w:rsidP="002866E3"/>
          <w:p w14:paraId="7A1F91E9" w14:textId="04B5655A" w:rsidR="00B876B2" w:rsidRDefault="00B876B2" w:rsidP="002866E3">
            <w:r w:rsidRPr="00B876B2">
              <w:t xml:space="preserve">V EEC odobritvi tipa pa zagotovo ni določenega sestavnega dela, ki ima MID odobritev, tako da </w:t>
            </w:r>
            <w:r>
              <w:t>je</w:t>
            </w:r>
            <w:r w:rsidRPr="00B876B2">
              <w:t xml:space="preserve"> potrebno tak vodomer</w:t>
            </w:r>
            <w:r>
              <w:t xml:space="preserve"> </w:t>
            </w:r>
            <w:r w:rsidRPr="00B876B2">
              <w:t>zavreči.</w:t>
            </w:r>
          </w:p>
        </w:tc>
      </w:tr>
      <w:tr w:rsidR="00BC2EF6" w14:paraId="15DC5AAD" w14:textId="77777777" w:rsidTr="00A1516C">
        <w:trPr>
          <w:trHeight w:val="567"/>
          <w:jc w:val="center"/>
        </w:trPr>
        <w:tc>
          <w:tcPr>
            <w:tcW w:w="2972" w:type="dxa"/>
          </w:tcPr>
          <w:p w14:paraId="5B93BDE0" w14:textId="77777777" w:rsidR="00BC2EF6" w:rsidRPr="00D166F5" w:rsidRDefault="00BC2EF6" w:rsidP="002866E3">
            <w:r w:rsidRPr="00BC2EF6">
              <w:rPr>
                <w:b/>
              </w:rPr>
              <w:t>Vodomeri</w:t>
            </w:r>
            <w:r w:rsidR="001957B5">
              <w:rPr>
                <w:b/>
              </w:rPr>
              <w:t xml:space="preserve"> (tudi merilniki toplotne energije)</w:t>
            </w:r>
            <w:r w:rsidRPr="00BC2EF6">
              <w:rPr>
                <w:b/>
              </w:rPr>
              <w:t>:</w:t>
            </w:r>
            <w:r w:rsidRPr="00D166F5">
              <w:t xml:space="preserve"> overjanje vodomerov za velike pretoke na podlagi rezultatov drugih laboratorijev </w:t>
            </w:r>
          </w:p>
        </w:tc>
        <w:tc>
          <w:tcPr>
            <w:tcW w:w="5690" w:type="dxa"/>
          </w:tcPr>
          <w:p w14:paraId="4DE82D3D" w14:textId="77777777" w:rsidR="001957B5" w:rsidRDefault="001634D0" w:rsidP="002866E3">
            <w:r>
              <w:t xml:space="preserve">S spremembo MID-a </w:t>
            </w:r>
            <w:r w:rsidR="00F525A2">
              <w:t xml:space="preserve">je </w:t>
            </w:r>
            <w:r>
              <w:t xml:space="preserve">postal </w:t>
            </w:r>
            <w:r w:rsidR="00241F14">
              <w:t xml:space="preserve">pretok </w:t>
            </w:r>
            <w:r>
              <w:t xml:space="preserve">Q3 </w:t>
            </w:r>
            <w:r w:rsidR="00241F14">
              <w:t>višj</w:t>
            </w:r>
            <w:r w:rsidR="00F525A2">
              <w:t>i</w:t>
            </w:r>
            <w:r w:rsidR="001957B5">
              <w:t xml:space="preserve">, kot </w:t>
            </w:r>
            <w:r w:rsidR="008B0474">
              <w:t>je</w:t>
            </w:r>
            <w:r>
              <w:t xml:space="preserve"> bil pred tem</w:t>
            </w:r>
            <w:r w:rsidR="00F525A2">
              <w:t xml:space="preserve"> za DN vodomera</w:t>
            </w:r>
            <w:r w:rsidR="001957B5">
              <w:t xml:space="preserve">. </w:t>
            </w:r>
            <w:r w:rsidR="00241F14">
              <w:t>Na ta način merilno področje včasih</w:t>
            </w:r>
            <w:r>
              <w:t xml:space="preserve"> presega</w:t>
            </w:r>
            <w:r w:rsidR="001957B5">
              <w:t xml:space="preserve"> merilne zmogljivosti KO-jev.</w:t>
            </w:r>
          </w:p>
          <w:p w14:paraId="5F1C6875" w14:textId="77777777" w:rsidR="006F4063" w:rsidRDefault="00F525A2" w:rsidP="002866E3">
            <w:r>
              <w:t>KO z</w:t>
            </w:r>
            <w:r w:rsidR="001957B5">
              <w:t>at</w:t>
            </w:r>
            <w:r w:rsidR="008B0474">
              <w:t>o takrat</w:t>
            </w:r>
            <w:r w:rsidR="001957B5">
              <w:t xml:space="preserve"> mehanizem izgradi, </w:t>
            </w:r>
            <w:r w:rsidR="00370ABA">
              <w:t>pošlje</w:t>
            </w:r>
            <w:r w:rsidR="00241F14">
              <w:t xml:space="preserve"> </w:t>
            </w:r>
            <w:r w:rsidR="00370ABA">
              <w:t>v kontrolo</w:t>
            </w:r>
            <w:r w:rsidR="00241F14">
              <w:t xml:space="preserve"> drugam</w:t>
            </w:r>
            <w:r w:rsidR="00370ABA">
              <w:t xml:space="preserve">, </w:t>
            </w:r>
            <w:r w:rsidR="00241F14">
              <w:t xml:space="preserve">kasneje </w:t>
            </w:r>
            <w:r w:rsidR="00370ABA">
              <w:t>se</w:t>
            </w:r>
            <w:r w:rsidR="001957B5">
              <w:t xml:space="preserve"> </w:t>
            </w:r>
            <w:r w:rsidR="008B0474">
              <w:t xml:space="preserve">ga </w:t>
            </w:r>
            <w:r w:rsidR="001957B5">
              <w:t xml:space="preserve">vgradi </w:t>
            </w:r>
            <w:r w:rsidR="00241F14">
              <w:t xml:space="preserve">nazaj </w:t>
            </w:r>
            <w:r w:rsidR="001957B5">
              <w:t>v ohišje in izda neakreditrano poročilo.</w:t>
            </w:r>
          </w:p>
          <w:p w14:paraId="5FE02E8A" w14:textId="77777777" w:rsidR="00A1516C" w:rsidRDefault="00A1516C" w:rsidP="002866E3"/>
        </w:tc>
        <w:tc>
          <w:tcPr>
            <w:tcW w:w="7040" w:type="dxa"/>
          </w:tcPr>
          <w:p w14:paraId="36663C66" w14:textId="77777777" w:rsidR="001957B5" w:rsidRDefault="00241F14" w:rsidP="002866E3">
            <w:r>
              <w:t>Neakreditrano</w:t>
            </w:r>
            <w:r w:rsidR="001957B5">
              <w:t xml:space="preserve"> poročanje o overitvi ni mogoče. </w:t>
            </w:r>
          </w:p>
          <w:p w14:paraId="0B27EDD9" w14:textId="77777777" w:rsidR="001957B5" w:rsidRDefault="00434820" w:rsidP="002866E3">
            <w:r>
              <w:t xml:space="preserve">Če mer. zmogljivosti </w:t>
            </w:r>
            <w:r w:rsidR="00241F14">
              <w:t xml:space="preserve">pri akreditiranih KO-jih </w:t>
            </w:r>
            <w:r>
              <w:t xml:space="preserve">niso na voljo, bo odgovornost za </w:t>
            </w:r>
            <w:r w:rsidR="001634D0">
              <w:t xml:space="preserve">morebitno </w:t>
            </w:r>
            <w:proofErr w:type="spellStart"/>
            <w:r>
              <w:t>neakr</w:t>
            </w:r>
            <w:r w:rsidR="001634D0">
              <w:t>editirano</w:t>
            </w:r>
            <w:proofErr w:type="spellEnd"/>
            <w:r w:rsidR="001634D0">
              <w:t xml:space="preserve"> kontrolo prevzel Urad, ali pa bo poskrbel za akreditirano kontrolo pri IO-ju, ki ima ustrezne  merilne zmogljivosti.</w:t>
            </w:r>
          </w:p>
        </w:tc>
      </w:tr>
      <w:tr w:rsidR="00BC2EF6" w14:paraId="1741A947" w14:textId="77777777" w:rsidTr="00A1516C">
        <w:trPr>
          <w:trHeight w:val="567"/>
          <w:jc w:val="center"/>
        </w:trPr>
        <w:tc>
          <w:tcPr>
            <w:tcW w:w="2972" w:type="dxa"/>
          </w:tcPr>
          <w:p w14:paraId="418F6535" w14:textId="77777777" w:rsidR="00BC2EF6" w:rsidRPr="00D166F5" w:rsidRDefault="00BC2EF6" w:rsidP="002866E3">
            <w:r w:rsidRPr="00BC2EF6">
              <w:rPr>
                <w:b/>
              </w:rPr>
              <w:t>Vodomeri, plinomeri, merilniki toplotne energije</w:t>
            </w:r>
            <w:r w:rsidRPr="00D166F5">
              <w:t xml:space="preserve">: kontrola </w:t>
            </w:r>
            <w:r w:rsidR="0088342A">
              <w:t>»</w:t>
            </w:r>
            <w:r w:rsidRPr="00D166F5">
              <w:t>med uporabo</w:t>
            </w:r>
            <w:r w:rsidR="0088342A">
              <w:t>«</w:t>
            </w:r>
            <w:r w:rsidRPr="00D166F5">
              <w:t xml:space="preserve"> z </w:t>
            </w:r>
            <w:r w:rsidR="0088342A">
              <w:t>»</w:t>
            </w:r>
            <w:r w:rsidRPr="00D166F5">
              <w:t>NDP med uporabo</w:t>
            </w:r>
            <w:r w:rsidR="0088342A">
              <w:t>«</w:t>
            </w:r>
            <w:r w:rsidRPr="00D166F5">
              <w:t xml:space="preserve"> </w:t>
            </w:r>
          </w:p>
        </w:tc>
        <w:tc>
          <w:tcPr>
            <w:tcW w:w="5690" w:type="dxa"/>
          </w:tcPr>
          <w:p w14:paraId="352A6B3C" w14:textId="77777777" w:rsidR="0088342A" w:rsidRDefault="0088342A" w:rsidP="002866E3">
            <w:pPr>
              <w:rPr>
                <w:rFonts w:cs="Arial"/>
                <w:szCs w:val="20"/>
              </w:rPr>
            </w:pPr>
            <w:r>
              <w:rPr>
                <w:rFonts w:cs="Arial"/>
                <w:szCs w:val="20"/>
              </w:rPr>
              <w:t>Za</w:t>
            </w:r>
            <w:r w:rsidR="006F4063" w:rsidRPr="00154A58">
              <w:rPr>
                <w:rFonts w:cs="Arial"/>
                <w:szCs w:val="20"/>
              </w:rPr>
              <w:t xml:space="preserve"> "kontrol</w:t>
            </w:r>
            <w:r>
              <w:rPr>
                <w:rFonts w:cs="Arial"/>
                <w:szCs w:val="20"/>
              </w:rPr>
              <w:t>o</w:t>
            </w:r>
            <w:r w:rsidR="006F4063" w:rsidRPr="00154A58">
              <w:rPr>
                <w:rFonts w:cs="Arial"/>
                <w:szCs w:val="20"/>
              </w:rPr>
              <w:t xml:space="preserve"> v uporabi" Urad ne podeljuje imenovanj. </w:t>
            </w:r>
          </w:p>
          <w:p w14:paraId="3760B37D" w14:textId="77777777" w:rsidR="006F4063" w:rsidRPr="00A1516C" w:rsidRDefault="0088342A" w:rsidP="002866E3">
            <w:pPr>
              <w:rPr>
                <w:rFonts w:cs="Arial"/>
                <w:szCs w:val="20"/>
              </w:rPr>
            </w:pPr>
            <w:r>
              <w:rPr>
                <w:rFonts w:cs="Arial"/>
                <w:szCs w:val="20"/>
              </w:rPr>
              <w:t xml:space="preserve">Glede na </w:t>
            </w:r>
            <w:r w:rsidR="006F4063" w:rsidRPr="00154A58">
              <w:rPr>
                <w:rFonts w:cs="Arial"/>
                <w:szCs w:val="20"/>
              </w:rPr>
              <w:t>NDP</w:t>
            </w:r>
            <w:r>
              <w:rPr>
                <w:rFonts w:cs="Arial"/>
                <w:szCs w:val="20"/>
              </w:rPr>
              <w:t xml:space="preserve"> - </w:t>
            </w:r>
            <w:r w:rsidR="006F4063" w:rsidRPr="00154A58">
              <w:rPr>
                <w:rFonts w:cs="Arial"/>
                <w:szCs w:val="20"/>
              </w:rPr>
              <w:t>v uporabi meroslovna inšpekcija preverja merila v uporabi</w:t>
            </w:r>
            <w:r>
              <w:rPr>
                <w:rFonts w:cs="Arial"/>
                <w:szCs w:val="20"/>
              </w:rPr>
              <w:t>, nekateri</w:t>
            </w:r>
            <w:r w:rsidR="006F4063" w:rsidRPr="00154A58">
              <w:rPr>
                <w:rFonts w:cs="Arial"/>
                <w:szCs w:val="20"/>
              </w:rPr>
              <w:t xml:space="preserve"> KO</w:t>
            </w:r>
            <w:r>
              <w:rPr>
                <w:rFonts w:cs="Arial"/>
                <w:szCs w:val="20"/>
              </w:rPr>
              <w:t>-ji pa</w:t>
            </w:r>
            <w:r w:rsidR="006F4063" w:rsidRPr="00154A58">
              <w:rPr>
                <w:rFonts w:cs="Arial"/>
                <w:szCs w:val="20"/>
              </w:rPr>
              <w:t xml:space="preserve"> preverjajo </w:t>
            </w:r>
            <w:r>
              <w:rPr>
                <w:rFonts w:cs="Arial"/>
                <w:szCs w:val="20"/>
              </w:rPr>
              <w:t xml:space="preserve">kazanje </w:t>
            </w:r>
            <w:r w:rsidR="006F4063" w:rsidRPr="00154A58">
              <w:rPr>
                <w:rFonts w:cs="Arial"/>
                <w:szCs w:val="20"/>
              </w:rPr>
              <w:t xml:space="preserve">meril </w:t>
            </w:r>
            <w:r>
              <w:rPr>
                <w:rFonts w:cs="Arial"/>
                <w:szCs w:val="20"/>
              </w:rPr>
              <w:t>p</w:t>
            </w:r>
            <w:r w:rsidR="006F4063" w:rsidRPr="00154A58">
              <w:rPr>
                <w:rFonts w:cs="Arial"/>
                <w:szCs w:val="20"/>
              </w:rPr>
              <w:t>ri reševanju pritožb končnih uporabnikov meril.</w:t>
            </w:r>
          </w:p>
        </w:tc>
        <w:tc>
          <w:tcPr>
            <w:tcW w:w="7040" w:type="dxa"/>
          </w:tcPr>
          <w:p w14:paraId="12A9EA73" w14:textId="27E2B4EF" w:rsidR="001634D0" w:rsidRDefault="00370ABA" w:rsidP="002866E3">
            <w:r>
              <w:t>Ocenjevalci naj že na uvodnem</w:t>
            </w:r>
            <w:r w:rsidR="00434820">
              <w:t xml:space="preserve"> sestank</w:t>
            </w:r>
            <w:r>
              <w:t>u</w:t>
            </w:r>
            <w:r w:rsidR="00434820">
              <w:t xml:space="preserve"> opozori</w:t>
            </w:r>
            <w:r>
              <w:t>jo</w:t>
            </w:r>
            <w:r w:rsidR="00434820">
              <w:t xml:space="preserve"> na možnost</w:t>
            </w:r>
            <w:r>
              <w:t xml:space="preserve"> akreditiranja »</w:t>
            </w:r>
            <w:r w:rsidRPr="00A1516C">
              <w:rPr>
                <w:b/>
              </w:rPr>
              <w:t>kontrol</w:t>
            </w:r>
            <w:r w:rsidR="00241F14" w:rsidRPr="00A1516C">
              <w:rPr>
                <w:b/>
              </w:rPr>
              <w:t>e</w:t>
            </w:r>
            <w:r w:rsidRPr="00A1516C">
              <w:rPr>
                <w:b/>
              </w:rPr>
              <w:t xml:space="preserve"> v uporabi</w:t>
            </w:r>
            <w:r>
              <w:t>«.</w:t>
            </w:r>
            <w:r w:rsidR="00BF4406">
              <w:t xml:space="preserve"> </w:t>
            </w:r>
            <w:r w:rsidR="00241F14">
              <w:t xml:space="preserve">Takšno širitev </w:t>
            </w:r>
            <w:r w:rsidR="0088342A">
              <w:t xml:space="preserve">SA </w:t>
            </w:r>
            <w:r w:rsidR="00241F14">
              <w:t>obravnava kot manjšo širitev (formalna prijava ni potrebna).</w:t>
            </w:r>
          </w:p>
          <w:p w14:paraId="06A797E3" w14:textId="77777777" w:rsidR="00370ABA" w:rsidRDefault="0088342A" w:rsidP="002866E3">
            <w:r>
              <w:t>S</w:t>
            </w:r>
            <w:r w:rsidR="001634D0">
              <w:t>klicevan</w:t>
            </w:r>
            <w:r w:rsidR="00241F14">
              <w:t>j</w:t>
            </w:r>
            <w:r>
              <w:t>e</w:t>
            </w:r>
            <w:r w:rsidR="00241F14">
              <w:t xml:space="preserve"> na akreditacijo</w:t>
            </w:r>
            <w:r>
              <w:t xml:space="preserve"> (uporaba znaka </w:t>
            </w:r>
            <w:proofErr w:type="spellStart"/>
            <w:r>
              <w:t>akr</w:t>
            </w:r>
            <w:proofErr w:type="spellEnd"/>
            <w:r>
              <w:t>. organa) je možno le takrat</w:t>
            </w:r>
            <w:r w:rsidR="00241F14">
              <w:t xml:space="preserve">, </w:t>
            </w:r>
            <w:r w:rsidR="00A1516C">
              <w:t>k</w:t>
            </w:r>
            <w:r>
              <w:t>o je</w:t>
            </w:r>
            <w:r w:rsidR="00241F14">
              <w:t xml:space="preserve"> »kontrola</w:t>
            </w:r>
            <w:r w:rsidR="001634D0">
              <w:t xml:space="preserve"> </w:t>
            </w:r>
            <w:r w:rsidR="00241F14">
              <w:t xml:space="preserve">v uporabi« </w:t>
            </w:r>
            <w:r w:rsidR="001634D0">
              <w:t>v obsegu</w:t>
            </w:r>
            <w:r w:rsidR="00241F14">
              <w:t xml:space="preserve"> za akreditacijo</w:t>
            </w:r>
            <w:r w:rsidR="001634D0">
              <w:t>.</w:t>
            </w:r>
          </w:p>
          <w:p w14:paraId="1B93FC45" w14:textId="4E86062C" w:rsidR="00B876B2" w:rsidRDefault="00B876B2" w:rsidP="002866E3"/>
        </w:tc>
      </w:tr>
      <w:tr w:rsidR="0088342A" w14:paraId="55954A95" w14:textId="77777777" w:rsidTr="00DF507B">
        <w:trPr>
          <w:trHeight w:val="567"/>
          <w:jc w:val="center"/>
        </w:trPr>
        <w:tc>
          <w:tcPr>
            <w:tcW w:w="2972" w:type="dxa"/>
          </w:tcPr>
          <w:p w14:paraId="4D07C3D6" w14:textId="77777777" w:rsidR="0088342A" w:rsidRDefault="0088342A" w:rsidP="00DF507B">
            <w:r w:rsidRPr="00BC2EF6">
              <w:rPr>
                <w:b/>
              </w:rPr>
              <w:t>Plinomeri, merilniki toplotne energije</w:t>
            </w:r>
            <w:r w:rsidRPr="00D166F5">
              <w:t xml:space="preserve">: </w:t>
            </w:r>
          </w:p>
          <w:p w14:paraId="04B4F823" w14:textId="77777777" w:rsidR="0088342A" w:rsidRDefault="0088342A" w:rsidP="00DF507B">
            <w:r w:rsidRPr="00D166F5">
              <w:t>pregled evidenc/postopkov  overitev /kontrol meril</w:t>
            </w:r>
            <w:r>
              <w:t>,</w:t>
            </w:r>
            <w:r w:rsidRPr="00D166F5">
              <w:t xml:space="preserve"> kjer gre za "</w:t>
            </w:r>
            <w:r w:rsidRPr="00154A58">
              <w:t>sestavljena"</w:t>
            </w:r>
            <w:r w:rsidRPr="00D166F5">
              <w:t xml:space="preserve"> merila npr. korektorjih - tri enote enega merila, kako se zagotavlja, da se cel sistem overi/kontrolira, predvsem v primeru okvare enega dela in da se potem zagotovi izredna overitev celote </w:t>
            </w:r>
          </w:p>
          <w:p w14:paraId="3DF0C7AD" w14:textId="667A8108" w:rsidR="00B876B2" w:rsidRPr="00D166F5" w:rsidRDefault="00B876B2" w:rsidP="00DF507B"/>
        </w:tc>
        <w:tc>
          <w:tcPr>
            <w:tcW w:w="5690" w:type="dxa"/>
          </w:tcPr>
          <w:p w14:paraId="59291701" w14:textId="77777777" w:rsidR="0088342A" w:rsidRDefault="0088342A" w:rsidP="00DF507B">
            <w:r>
              <w:t>Vsaka komponenta merilnika toplotne energije ima lahko svojo odobritev merila (npr. pretok, temp.), podobna situacija je pri korektorjih za plinomere. Meroslovno se lahko ločeno pregleda vsaka komponenta posebej in ne le vse skupaj.</w:t>
            </w:r>
          </w:p>
          <w:p w14:paraId="1864756E" w14:textId="77777777" w:rsidR="0088342A" w:rsidRDefault="0088342A" w:rsidP="00DF507B"/>
          <w:p w14:paraId="60F9BE4C" w14:textId="77777777" w:rsidR="0088342A" w:rsidRDefault="0088342A" w:rsidP="00DF507B">
            <w:r>
              <w:t>To ne pomeni, da se lahko merilo overja po delih (komponentah): ugotavljanje skladnosti naj bo obravnavano kot celota, v enotnem poročilu o overitvi.</w:t>
            </w:r>
          </w:p>
        </w:tc>
        <w:tc>
          <w:tcPr>
            <w:tcW w:w="7040" w:type="dxa"/>
          </w:tcPr>
          <w:p w14:paraId="6806526F" w14:textId="77777777" w:rsidR="0088342A" w:rsidRDefault="0088342A" w:rsidP="00DF507B">
            <w:r>
              <w:t>Overitev meril, ki so sestavljena iz več komponent, mora biti obravnavano kot celota, v enotnem poročilu o overitvi.</w:t>
            </w:r>
          </w:p>
        </w:tc>
      </w:tr>
      <w:tr w:rsidR="0088342A" w14:paraId="0A24F325" w14:textId="77777777" w:rsidTr="00311524">
        <w:trPr>
          <w:trHeight w:val="567"/>
          <w:jc w:val="center"/>
        </w:trPr>
        <w:tc>
          <w:tcPr>
            <w:tcW w:w="2972" w:type="dxa"/>
          </w:tcPr>
          <w:p w14:paraId="5B5B234C" w14:textId="77777777" w:rsidR="0088342A" w:rsidRPr="00D166F5" w:rsidRDefault="0088342A" w:rsidP="00311524">
            <w:r w:rsidRPr="001309D6">
              <w:rPr>
                <w:b/>
              </w:rPr>
              <w:t xml:space="preserve">Korektorji za zemeljski plin: </w:t>
            </w:r>
            <w:r w:rsidRPr="00EB6E1E">
              <w:t>ali se lahko uporabijo za</w:t>
            </w:r>
            <w:r>
              <w:t xml:space="preserve"> korigiranje količine parne faze </w:t>
            </w:r>
            <w:r w:rsidRPr="00EB6E1E">
              <w:t>UNP</w:t>
            </w:r>
            <w:r w:rsidR="00CC4957">
              <w:t>?</w:t>
            </w:r>
          </w:p>
        </w:tc>
        <w:tc>
          <w:tcPr>
            <w:tcW w:w="5690" w:type="dxa"/>
          </w:tcPr>
          <w:p w14:paraId="52660D66" w14:textId="77777777" w:rsidR="0088342A" w:rsidRDefault="0088342A" w:rsidP="00311524">
            <w:r>
              <w:t>Ali je dopustno overjanje oz. kontrola korektorjev, ki se uporabljajo za korigiranje količine parne faze UNP?</w:t>
            </w:r>
          </w:p>
        </w:tc>
        <w:tc>
          <w:tcPr>
            <w:tcW w:w="7040" w:type="dxa"/>
          </w:tcPr>
          <w:p w14:paraId="301CE663" w14:textId="77777777" w:rsidR="0088342A" w:rsidRDefault="0088342A" w:rsidP="00311524">
            <w:pPr>
              <w:pStyle w:val="Odstavekseznama"/>
              <w:numPr>
                <w:ilvl w:val="0"/>
                <w:numId w:val="6"/>
              </w:numPr>
            </w:pPr>
            <w:r>
              <w:t xml:space="preserve">Overitev korektorjev, ki se uporabljajo za korigiranje količine parne faze UNP, </w:t>
            </w:r>
            <w:r w:rsidRPr="0088342A">
              <w:rPr>
                <w:b/>
              </w:rPr>
              <w:t>NI mogoča</w:t>
            </w:r>
            <w:r>
              <w:t>.</w:t>
            </w:r>
          </w:p>
          <w:p w14:paraId="5FBF1FC2" w14:textId="77777777" w:rsidR="0088342A" w:rsidRDefault="0088342A" w:rsidP="00311524"/>
          <w:p w14:paraId="42322D5E" w14:textId="77777777" w:rsidR="0088342A" w:rsidRDefault="0088342A" w:rsidP="00311524">
            <w:pPr>
              <w:pStyle w:val="Odstavekseznama"/>
              <w:numPr>
                <w:ilvl w:val="0"/>
                <w:numId w:val="6"/>
              </w:numPr>
            </w:pPr>
            <w:r>
              <w:t xml:space="preserve">Mogoča je </w:t>
            </w:r>
            <w:r w:rsidRPr="00CC4957">
              <w:rPr>
                <w:b/>
              </w:rPr>
              <w:t>akreditirana kontrola</w:t>
            </w:r>
            <w:r>
              <w:t xml:space="preserve"> (ki se NE konča z overitvijo). </w:t>
            </w:r>
          </w:p>
          <w:p w14:paraId="1A034B76" w14:textId="77777777" w:rsidR="0088342A" w:rsidRDefault="0088342A" w:rsidP="00311524">
            <w:pPr>
              <w:pStyle w:val="Odstavekseznama"/>
              <w:ind w:left="360"/>
            </w:pPr>
            <w:r>
              <w:t xml:space="preserve">Kontrolni organ lahko tovrstno (manjšo) širitev najavi na ocenjevanju. </w:t>
            </w:r>
          </w:p>
          <w:p w14:paraId="0B72BF51" w14:textId="77777777" w:rsidR="0088342A" w:rsidRDefault="0088342A" w:rsidP="00311524">
            <w:pPr>
              <w:pStyle w:val="Odstavekseznama"/>
              <w:ind w:left="360"/>
            </w:pPr>
            <w:r>
              <w:t>Ocenjevalci v postopku akreditiranja:</w:t>
            </w:r>
          </w:p>
          <w:p w14:paraId="4C224AE9" w14:textId="77777777" w:rsidR="0088342A" w:rsidRDefault="0088342A" w:rsidP="00311524">
            <w:pPr>
              <w:pStyle w:val="Odstavekseznama"/>
              <w:numPr>
                <w:ilvl w:val="1"/>
                <w:numId w:val="6"/>
              </w:numPr>
            </w:pPr>
            <w:r>
              <w:t xml:space="preserve">ocenijo primernost internega postopka, v katerem mora kontrolni organ opredeliti posebnosti tovrstne kontrole, npr. način določitve </w:t>
            </w:r>
            <w:r w:rsidRPr="00EF0C88">
              <w:t>kompresibiln</w:t>
            </w:r>
            <w:r>
              <w:t>ega</w:t>
            </w:r>
            <w:r w:rsidRPr="00EF0C88">
              <w:t xml:space="preserve"> števil</w:t>
            </w:r>
            <w:r>
              <w:t>a</w:t>
            </w:r>
            <w:r w:rsidRPr="00EF0C88">
              <w:t xml:space="preserve"> K</w:t>
            </w:r>
            <w:r>
              <w:t>…</w:t>
            </w:r>
          </w:p>
          <w:p w14:paraId="5AA0A73B" w14:textId="77777777" w:rsidR="0088342A" w:rsidRDefault="0088342A" w:rsidP="00311524">
            <w:pPr>
              <w:pStyle w:val="Odstavekseznama"/>
              <w:numPr>
                <w:ilvl w:val="1"/>
                <w:numId w:val="6"/>
              </w:numPr>
            </w:pPr>
            <w:r>
              <w:t>kontrolni organ mora o tovrstni kontroli poročati v Poročilu o kontroli (</w:t>
            </w:r>
            <w:r w:rsidRPr="0088342A">
              <w:rPr>
                <w:b/>
              </w:rPr>
              <w:t xml:space="preserve">in ne </w:t>
            </w:r>
            <w:r w:rsidRPr="0088342A">
              <w:t>Poročilu o overitvi</w:t>
            </w:r>
            <w:r>
              <w:t>) z ustrezno vsebino (ugotovitev o skladnosti).</w:t>
            </w:r>
          </w:p>
          <w:p w14:paraId="603C736C" w14:textId="77777777" w:rsidR="0088342A" w:rsidRDefault="0088342A" w:rsidP="00311524"/>
        </w:tc>
      </w:tr>
      <w:tr w:rsidR="00B44CE3" w14:paraId="2546D855" w14:textId="77777777" w:rsidTr="00311524">
        <w:trPr>
          <w:trHeight w:val="567"/>
          <w:jc w:val="center"/>
        </w:trPr>
        <w:tc>
          <w:tcPr>
            <w:tcW w:w="2972" w:type="dxa"/>
          </w:tcPr>
          <w:p w14:paraId="35EF5540" w14:textId="3B1026E6" w:rsidR="00B44CE3" w:rsidRDefault="00B44CE3" w:rsidP="00B44CE3">
            <w:pPr>
              <w:rPr>
                <w:b/>
              </w:rPr>
            </w:pPr>
            <w:r w:rsidRPr="001309D6">
              <w:rPr>
                <w:b/>
              </w:rPr>
              <w:t>Korektorji za zemeljski plin</w:t>
            </w:r>
          </w:p>
          <w:p w14:paraId="5D538E95" w14:textId="77777777" w:rsidR="00B44CE3" w:rsidRDefault="00B44CE3" w:rsidP="00B44CE3">
            <w:pPr>
              <w:rPr>
                <w:b/>
              </w:rPr>
            </w:pPr>
          </w:p>
          <w:p w14:paraId="305318C6" w14:textId="0D2FE4C7" w:rsidR="00B44CE3" w:rsidRPr="001309D6" w:rsidRDefault="00B44CE3" w:rsidP="00B44CE3">
            <w:pPr>
              <w:rPr>
                <w:b/>
              </w:rPr>
            </w:pPr>
            <w:r>
              <w:rPr>
                <w:bCs/>
              </w:rPr>
              <w:t>T</w:t>
            </w:r>
            <w:r w:rsidRPr="00B44CE3">
              <w:rPr>
                <w:bCs/>
              </w:rPr>
              <w:t>emp. območje, v katerem je potrebno izvajati kontrolo korektorjev</w:t>
            </w:r>
            <w:r>
              <w:rPr>
                <w:bCs/>
              </w:rPr>
              <w:t>.</w:t>
            </w:r>
          </w:p>
        </w:tc>
        <w:tc>
          <w:tcPr>
            <w:tcW w:w="5690" w:type="dxa"/>
          </w:tcPr>
          <w:p w14:paraId="2FB06483" w14:textId="75B1283B" w:rsidR="00B44CE3" w:rsidRDefault="00B44CE3" w:rsidP="00B44CE3">
            <w:pPr>
              <w:rPr>
                <w:bCs/>
              </w:rPr>
            </w:pPr>
            <w:r>
              <w:rPr>
                <w:bCs/>
              </w:rPr>
              <w:t>Ali je t</w:t>
            </w:r>
            <w:r w:rsidRPr="00B44CE3">
              <w:rPr>
                <w:bCs/>
              </w:rPr>
              <w:t>emp. območje, v katerem je potrebno izvajati kontrolo korektorjev</w:t>
            </w:r>
            <w:r>
              <w:rPr>
                <w:bCs/>
              </w:rPr>
              <w:t xml:space="preserve">, lahko manjše, kot je </w:t>
            </w:r>
            <w:r w:rsidRPr="00B44CE3">
              <w:rPr>
                <w:bCs/>
              </w:rPr>
              <w:t xml:space="preserve">temp. območje, ki je določeno v odobritvi tipa. </w:t>
            </w:r>
          </w:p>
          <w:p w14:paraId="1B44BD6E" w14:textId="77777777" w:rsidR="00B44CE3" w:rsidRPr="00B44CE3" w:rsidRDefault="00B44CE3" w:rsidP="00B44CE3">
            <w:pPr>
              <w:rPr>
                <w:bCs/>
              </w:rPr>
            </w:pPr>
          </w:p>
          <w:p w14:paraId="1D0CC2B2" w14:textId="77777777" w:rsidR="00B44CE3" w:rsidRPr="00B44CE3" w:rsidRDefault="00B44CE3" w:rsidP="00B44CE3">
            <w:pPr>
              <w:rPr>
                <w:bCs/>
              </w:rPr>
            </w:pPr>
            <w:r w:rsidRPr="00B44CE3">
              <w:rPr>
                <w:bCs/>
              </w:rPr>
              <w:t>Npr. korektor ima odobreno območje med -30°C do 70°C, kontrola se izvede v območju med 0°C in 30 °C.</w:t>
            </w:r>
          </w:p>
          <w:p w14:paraId="7EEA391F" w14:textId="77777777" w:rsidR="00B44CE3" w:rsidRDefault="00B44CE3" w:rsidP="00311524"/>
        </w:tc>
        <w:tc>
          <w:tcPr>
            <w:tcW w:w="7040" w:type="dxa"/>
          </w:tcPr>
          <w:p w14:paraId="05E99A60" w14:textId="1DCEE645" w:rsidR="00B44CE3" w:rsidRDefault="00B44CE3" w:rsidP="00B44CE3">
            <w:r w:rsidRPr="00B44CE3">
              <w:t>Glede na to, da EN 12405 oz. OIML R 140 (harmoniziran standard oz. normati</w:t>
            </w:r>
            <w:r>
              <w:t>v</w:t>
            </w:r>
            <w:r w:rsidRPr="00B44CE3">
              <w:t xml:space="preserve">ni dokument) ne opredeljujeta podrobno postopka prve overite (in še manj postopka redne overitve) glede temperatur, pri katerih je potrebno izvesti pregled korektorja, je z vidika točke 10.3 v OIML R 140 (10.3 </w:t>
            </w:r>
            <w:proofErr w:type="spellStart"/>
            <w:r w:rsidRPr="00B44CE3">
              <w:t>Initial</w:t>
            </w:r>
            <w:proofErr w:type="spellEnd"/>
            <w:r w:rsidRPr="00B44CE3">
              <w:t xml:space="preserve"> </w:t>
            </w:r>
            <w:proofErr w:type="spellStart"/>
            <w:r w:rsidRPr="00B44CE3">
              <w:t>verification</w:t>
            </w:r>
            <w:proofErr w:type="spellEnd"/>
            <w:r w:rsidRPr="00B44CE3">
              <w:t xml:space="preserve">: </w:t>
            </w:r>
            <w:proofErr w:type="spellStart"/>
            <w:r w:rsidRPr="00B44CE3">
              <w:t>The</w:t>
            </w:r>
            <w:proofErr w:type="spellEnd"/>
            <w:r w:rsidRPr="00B44CE3">
              <w:t xml:space="preserve"> </w:t>
            </w:r>
            <w:proofErr w:type="spellStart"/>
            <w:r w:rsidRPr="00B44CE3">
              <w:t>initial</w:t>
            </w:r>
            <w:proofErr w:type="spellEnd"/>
            <w:r w:rsidRPr="00B44CE3">
              <w:t xml:space="preserve"> </w:t>
            </w:r>
            <w:proofErr w:type="spellStart"/>
            <w:r w:rsidRPr="00B44CE3">
              <w:t>verification</w:t>
            </w:r>
            <w:proofErr w:type="spellEnd"/>
            <w:r w:rsidRPr="00B44CE3">
              <w:t xml:space="preserve"> </w:t>
            </w:r>
            <w:proofErr w:type="spellStart"/>
            <w:r w:rsidRPr="00B44CE3">
              <w:t>consists</w:t>
            </w:r>
            <w:proofErr w:type="spellEnd"/>
            <w:r w:rsidRPr="00B44CE3">
              <w:t xml:space="preserve"> in </w:t>
            </w:r>
            <w:proofErr w:type="spellStart"/>
            <w:r w:rsidRPr="00B44CE3">
              <w:t>verifying</w:t>
            </w:r>
            <w:proofErr w:type="spellEnd"/>
            <w:r w:rsidRPr="00B44CE3">
              <w:t xml:space="preserve"> </w:t>
            </w:r>
            <w:proofErr w:type="spellStart"/>
            <w:r w:rsidRPr="00B44CE3">
              <w:t>that</w:t>
            </w:r>
            <w:proofErr w:type="spellEnd"/>
            <w:r w:rsidRPr="00B44CE3">
              <w:t xml:space="preserve"> </w:t>
            </w:r>
            <w:proofErr w:type="spellStart"/>
            <w:r w:rsidRPr="00B44CE3">
              <w:t>the</w:t>
            </w:r>
            <w:proofErr w:type="spellEnd"/>
            <w:r w:rsidRPr="00B44CE3">
              <w:t xml:space="preserve"> </w:t>
            </w:r>
            <w:proofErr w:type="spellStart"/>
            <w:r w:rsidRPr="00B44CE3">
              <w:t>measuring</w:t>
            </w:r>
            <w:proofErr w:type="spellEnd"/>
            <w:r w:rsidRPr="00B44CE3">
              <w:t xml:space="preserve"> </w:t>
            </w:r>
            <w:proofErr w:type="spellStart"/>
            <w:r w:rsidRPr="00B44CE3">
              <w:t>system</w:t>
            </w:r>
            <w:proofErr w:type="spellEnd"/>
            <w:r w:rsidRPr="00B44CE3">
              <w:t xml:space="preserve"> </w:t>
            </w:r>
            <w:proofErr w:type="spellStart"/>
            <w:r w:rsidRPr="00B44CE3">
              <w:t>fulfils</w:t>
            </w:r>
            <w:proofErr w:type="spellEnd"/>
            <w:r w:rsidRPr="00B44CE3">
              <w:t xml:space="preserve"> </w:t>
            </w:r>
            <w:proofErr w:type="spellStart"/>
            <w:r w:rsidRPr="00B44CE3">
              <w:t>the</w:t>
            </w:r>
            <w:proofErr w:type="spellEnd"/>
            <w:r w:rsidRPr="00B44CE3">
              <w:t xml:space="preserve"> </w:t>
            </w:r>
            <w:proofErr w:type="spellStart"/>
            <w:r w:rsidRPr="00B44CE3">
              <w:t>full</w:t>
            </w:r>
            <w:proofErr w:type="spellEnd"/>
            <w:r w:rsidRPr="00B44CE3">
              <w:t xml:space="preserve"> set </w:t>
            </w:r>
            <w:proofErr w:type="spellStart"/>
            <w:r w:rsidRPr="00B44CE3">
              <w:t>of</w:t>
            </w:r>
            <w:proofErr w:type="spellEnd"/>
            <w:r w:rsidRPr="00B44CE3">
              <w:t xml:space="preserve"> </w:t>
            </w:r>
            <w:proofErr w:type="spellStart"/>
            <w:r w:rsidRPr="00B44CE3">
              <w:t>metrological</w:t>
            </w:r>
            <w:proofErr w:type="spellEnd"/>
            <w:r w:rsidRPr="00B44CE3">
              <w:t xml:space="preserve"> </w:t>
            </w:r>
            <w:proofErr w:type="spellStart"/>
            <w:r w:rsidRPr="00B44CE3">
              <w:t>requirements</w:t>
            </w:r>
            <w:proofErr w:type="spellEnd"/>
            <w:r w:rsidRPr="00B44CE3">
              <w:t xml:space="preserve"> </w:t>
            </w:r>
            <w:proofErr w:type="spellStart"/>
            <w:r w:rsidRPr="00B44CE3">
              <w:t>applicable</w:t>
            </w:r>
            <w:proofErr w:type="spellEnd"/>
            <w:r w:rsidRPr="00B44CE3">
              <w:t xml:space="preserve"> to </w:t>
            </w:r>
            <w:proofErr w:type="spellStart"/>
            <w:r w:rsidRPr="00B44CE3">
              <w:t>the</w:t>
            </w:r>
            <w:proofErr w:type="spellEnd"/>
            <w:r w:rsidRPr="00B44CE3">
              <w:t xml:space="preserve"> </w:t>
            </w:r>
            <w:proofErr w:type="spellStart"/>
            <w:r w:rsidRPr="00B44CE3">
              <w:t>measuring</w:t>
            </w:r>
            <w:proofErr w:type="spellEnd"/>
            <w:r w:rsidRPr="00B44CE3">
              <w:t xml:space="preserve"> </w:t>
            </w:r>
            <w:proofErr w:type="spellStart"/>
            <w:r w:rsidRPr="00B44CE3">
              <w:t>system</w:t>
            </w:r>
            <w:proofErr w:type="spellEnd"/>
            <w:r w:rsidRPr="00B44CE3">
              <w:t xml:space="preserve"> on </w:t>
            </w:r>
            <w:proofErr w:type="spellStart"/>
            <w:r w:rsidRPr="00B44CE3">
              <w:t>the</w:t>
            </w:r>
            <w:proofErr w:type="spellEnd"/>
            <w:r w:rsidRPr="00B44CE3">
              <w:t xml:space="preserve"> site </w:t>
            </w:r>
            <w:proofErr w:type="spellStart"/>
            <w:r w:rsidRPr="00B44CE3">
              <w:t>of</w:t>
            </w:r>
            <w:proofErr w:type="spellEnd"/>
            <w:r w:rsidRPr="00B44CE3">
              <w:t xml:space="preserve"> </w:t>
            </w:r>
            <w:proofErr w:type="spellStart"/>
            <w:r w:rsidRPr="00B44CE3">
              <w:t>use</w:t>
            </w:r>
            <w:proofErr w:type="spellEnd"/>
            <w:r w:rsidRPr="00B44CE3">
              <w:t xml:space="preserve">.) </w:t>
            </w:r>
            <w:r>
              <w:t xml:space="preserve">potrebno upoštevati </w:t>
            </w:r>
            <w:r w:rsidRPr="00B44CE3">
              <w:t>poročila o dejanskih temperaturah zemeljskega plina na merilnih mestih</w:t>
            </w:r>
            <w:r>
              <w:t>.</w:t>
            </w:r>
          </w:p>
          <w:p w14:paraId="2564A68E" w14:textId="77777777" w:rsidR="00B44CE3" w:rsidRDefault="00B44CE3" w:rsidP="00B44CE3"/>
          <w:p w14:paraId="5D415372" w14:textId="13BB91A3" w:rsidR="00B44CE3" w:rsidRDefault="00B44CE3" w:rsidP="00B44CE3">
            <w:r>
              <w:t xml:space="preserve">V primeru, da temp. območje uporabe ne presega </w:t>
            </w:r>
            <w:r w:rsidRPr="00B44CE3">
              <w:t xml:space="preserve">0°C </w:t>
            </w:r>
            <w:r>
              <w:t>-</w:t>
            </w:r>
            <w:r w:rsidRPr="00B44CE3">
              <w:t xml:space="preserve"> 30 °C </w:t>
            </w:r>
            <w:r>
              <w:t xml:space="preserve">je </w:t>
            </w:r>
            <w:r w:rsidRPr="00B44CE3">
              <w:t xml:space="preserve">izvedba </w:t>
            </w:r>
            <w:r>
              <w:t xml:space="preserve">kontrole </w:t>
            </w:r>
            <w:r w:rsidRPr="00B44CE3">
              <w:t>korektorja v območju med 0 °C in 30 °C primerna</w:t>
            </w:r>
            <w:r>
              <w:t>.</w:t>
            </w:r>
          </w:p>
          <w:p w14:paraId="7A9E4841" w14:textId="75767A5E" w:rsidR="00B44CE3" w:rsidRDefault="00B44CE3" w:rsidP="00B44CE3"/>
        </w:tc>
      </w:tr>
      <w:tr w:rsidR="00FD130D" w:rsidRPr="00FD130D" w14:paraId="304087A0" w14:textId="77777777" w:rsidTr="00D51117">
        <w:trPr>
          <w:trHeight w:val="555"/>
          <w:jc w:val="center"/>
        </w:trPr>
        <w:tc>
          <w:tcPr>
            <w:tcW w:w="15702" w:type="dxa"/>
            <w:gridSpan w:val="3"/>
            <w:shd w:val="clear" w:color="auto" w:fill="FFFF00"/>
            <w:vAlign w:val="center"/>
          </w:tcPr>
          <w:p w14:paraId="46907E0D" w14:textId="77777777" w:rsidR="00FD130D" w:rsidRPr="00FD130D" w:rsidRDefault="00FD130D" w:rsidP="005528CC">
            <w:pPr>
              <w:jc w:val="center"/>
              <w:rPr>
                <w:b/>
              </w:rPr>
            </w:pPr>
            <w:bookmarkStart w:id="2" w:name="_Hlk5691056"/>
            <w:bookmarkEnd w:id="0"/>
            <w:r>
              <w:rPr>
                <w:b/>
              </w:rPr>
              <w:t>MERILNIKI KRVNEGA TLAKA</w:t>
            </w:r>
            <w:r w:rsidR="0088342A">
              <w:rPr>
                <w:b/>
              </w:rPr>
              <w:t>, MERILNIKI TLAKA V PNEVMATIKAH</w:t>
            </w:r>
          </w:p>
        </w:tc>
      </w:tr>
      <w:tr w:rsidR="00A32C52" w14:paraId="6980C793" w14:textId="77777777" w:rsidTr="00413EBB">
        <w:trPr>
          <w:trHeight w:val="567"/>
          <w:jc w:val="center"/>
        </w:trPr>
        <w:tc>
          <w:tcPr>
            <w:tcW w:w="2972" w:type="dxa"/>
          </w:tcPr>
          <w:p w14:paraId="369FC2DE" w14:textId="77777777" w:rsidR="00A32C52" w:rsidRDefault="00A32C52" w:rsidP="00413EBB">
            <w:r w:rsidRPr="00BC2EF6">
              <w:rPr>
                <w:b/>
              </w:rPr>
              <w:t>Merilniki krvnega tlaka</w:t>
            </w:r>
            <w:r w:rsidRPr="00D166F5">
              <w:t xml:space="preserve">: merilniki gleženjskega indeksa </w:t>
            </w:r>
          </w:p>
          <w:p w14:paraId="2A038BE7" w14:textId="77777777" w:rsidR="00A32C52" w:rsidRPr="00D166F5" w:rsidRDefault="00A32C52" w:rsidP="00413EBB"/>
        </w:tc>
        <w:tc>
          <w:tcPr>
            <w:tcW w:w="5690" w:type="dxa"/>
          </w:tcPr>
          <w:p w14:paraId="651ADACF" w14:textId="77777777" w:rsidR="00A32C52" w:rsidRDefault="00A32C52" w:rsidP="00413EBB">
            <w:r>
              <w:t>4 manšete…</w:t>
            </w:r>
          </w:p>
          <w:p w14:paraId="52491263" w14:textId="77777777" w:rsidR="00A32C52" w:rsidRDefault="00A32C52" w:rsidP="00413EBB">
            <w:r>
              <w:t>MIRS-a potrjuje, da so tudi merilniki gleženjskega indeksa lahko predmet overjanja po pravilniku:</w:t>
            </w:r>
          </w:p>
          <w:p w14:paraId="58533BFA" w14:textId="77777777" w:rsidR="00A32C52" w:rsidRDefault="00FB2FB3" w:rsidP="00413EBB">
            <w:hyperlink r:id="rId7" w:history="1">
              <w:r w:rsidR="00A32C52" w:rsidRPr="006A53F6">
                <w:rPr>
                  <w:rStyle w:val="Hiperpovezava"/>
                </w:rPr>
                <w:t>http://www.pisrs.si/Pis.web/pregledPredpisa?id=PRAV5758</w:t>
              </w:r>
            </w:hyperlink>
          </w:p>
          <w:p w14:paraId="0C30C1C3" w14:textId="77777777" w:rsidR="00A32C52" w:rsidRDefault="00A32C52" w:rsidP="00413EBB"/>
        </w:tc>
        <w:tc>
          <w:tcPr>
            <w:tcW w:w="7040" w:type="dxa"/>
          </w:tcPr>
          <w:p w14:paraId="45860472" w14:textId="77777777" w:rsidR="00A32C52" w:rsidRDefault="00A32C52" w:rsidP="00413EBB">
            <w:r>
              <w:t>Strokovni ocenjevalec na ocenjevanjih preveri primernost postopka kontrole tovrstnih merilnikov, kadar se le-ta izvaja.</w:t>
            </w:r>
          </w:p>
          <w:p w14:paraId="41656281" w14:textId="77777777" w:rsidR="00A32C52" w:rsidRDefault="00A32C52" w:rsidP="00413EBB">
            <w:r>
              <w:t xml:space="preserve">Zaenkrat v obsegu za akreditacijo merilnikov krvnega tlaka posebej ne </w:t>
            </w:r>
            <w:r w:rsidR="00CC4957">
              <w:t>navajamo</w:t>
            </w:r>
            <w:r>
              <w:t>.</w:t>
            </w:r>
          </w:p>
        </w:tc>
      </w:tr>
      <w:tr w:rsidR="00CC4957" w14:paraId="43C88F43" w14:textId="77777777" w:rsidTr="00262302">
        <w:trPr>
          <w:trHeight w:val="567"/>
          <w:jc w:val="center"/>
        </w:trPr>
        <w:tc>
          <w:tcPr>
            <w:tcW w:w="2972" w:type="dxa"/>
          </w:tcPr>
          <w:p w14:paraId="0C755501" w14:textId="77777777" w:rsidR="00CC4957" w:rsidRPr="00D166F5" w:rsidRDefault="00CC4957" w:rsidP="00262302">
            <w:r w:rsidRPr="00A32C52">
              <w:t>Merilniki krvnega tlaka –</w:t>
            </w:r>
            <w:r>
              <w:rPr>
                <w:b/>
              </w:rPr>
              <w:t xml:space="preserve"> pogreški v smeri naraščajočega in padajočega tlak</w:t>
            </w:r>
          </w:p>
        </w:tc>
        <w:tc>
          <w:tcPr>
            <w:tcW w:w="5690" w:type="dxa"/>
          </w:tcPr>
          <w:p w14:paraId="0C4AD1D8" w14:textId="77777777" w:rsidR="00CC4957" w:rsidRDefault="00CC4957" w:rsidP="00262302">
            <w:r>
              <w:t>Ali je potrebno kontrolo merilnikov tlaka izvajati v smeri naraščajočega IN padajočega tlaka?</w:t>
            </w:r>
          </w:p>
          <w:p w14:paraId="2D611413" w14:textId="77777777" w:rsidR="00CC4957" w:rsidRDefault="00CC4957" w:rsidP="00262302"/>
          <w:p w14:paraId="004BF71F" w14:textId="77777777" w:rsidR="00CC4957" w:rsidRDefault="00CC4957" w:rsidP="00262302">
            <w:r>
              <w:t xml:space="preserve">Pojasnilo: </w:t>
            </w:r>
            <w:r w:rsidRPr="00987065">
              <w:t>Pravilnik</w:t>
            </w:r>
            <w:r>
              <w:t xml:space="preserve"> </w:t>
            </w:r>
            <w:hyperlink r:id="rId8" w:history="1">
              <w:r w:rsidRPr="00A32033">
                <w:rPr>
                  <w:rStyle w:val="Hiperpovezava"/>
                </w:rPr>
                <w:t>http://www.pisrs.si/Pis.web/pregledPredpisa?id=PRAV5758</w:t>
              </w:r>
            </w:hyperlink>
          </w:p>
          <w:p w14:paraId="7D54080C" w14:textId="77777777" w:rsidR="00CC4957" w:rsidRDefault="00CC4957" w:rsidP="00262302">
            <w:r w:rsidRPr="00987065">
              <w:t xml:space="preserve"> v 6. členu navede "Preverjanje izpolnjevanja zahtev iz prejšnjega odstavka se izvede po OIML R 16-1, točka A1 dodatka A ali OIML R 16-2, točka A.2 dodatka A". </w:t>
            </w:r>
          </w:p>
          <w:p w14:paraId="1BC59F83" w14:textId="77777777" w:rsidR="00CC4957" w:rsidRDefault="00CC4957" w:rsidP="00262302"/>
          <w:p w14:paraId="07851CB7" w14:textId="77777777" w:rsidR="00CC4957" w:rsidRDefault="00CC4957" w:rsidP="00262302">
            <w:r w:rsidRPr="00987065">
              <w:t xml:space="preserve">OIML v točki A.1.3 navede, kako naj se rezultati izrazijo, ter navede točko B.2. kot referenčno točko za zapis rezultatov. </w:t>
            </w:r>
          </w:p>
          <w:p w14:paraId="18AB4DD5" w14:textId="77777777" w:rsidR="00CC4957" w:rsidRPr="00AB3AAC" w:rsidRDefault="00CC4957" w:rsidP="00262302">
            <w:pPr>
              <w:rPr>
                <w:b/>
              </w:rPr>
            </w:pPr>
            <w:r w:rsidRPr="00987065">
              <w:t xml:space="preserve">V točki B.2 pa je navedeno, da se </w:t>
            </w:r>
            <w:r w:rsidRPr="00AB3AAC">
              <w:rPr>
                <w:b/>
              </w:rPr>
              <w:t>rezultati pogreška navajajo v obeh smereh.</w:t>
            </w:r>
          </w:p>
          <w:p w14:paraId="7ED5A470" w14:textId="77777777" w:rsidR="00CC4957" w:rsidRDefault="00CC4957" w:rsidP="00262302"/>
        </w:tc>
        <w:tc>
          <w:tcPr>
            <w:tcW w:w="7040" w:type="dxa"/>
          </w:tcPr>
          <w:p w14:paraId="65126880" w14:textId="77777777" w:rsidR="00CC4957" w:rsidRPr="00A32C52" w:rsidRDefault="00CC4957" w:rsidP="00262302">
            <w:pPr>
              <w:rPr>
                <w:b/>
              </w:rPr>
            </w:pPr>
            <w:r>
              <w:t xml:space="preserve">DA. Kontrolo pogreškov merilnikov krvnega tlaka je potrebno </w:t>
            </w:r>
            <w:r w:rsidRPr="00A32C52">
              <w:rPr>
                <w:b/>
              </w:rPr>
              <w:t>izvajati v smeri naraščajočega IN padajočega tlaka.</w:t>
            </w:r>
          </w:p>
          <w:p w14:paraId="0E3FF49C" w14:textId="77777777" w:rsidR="00CC4957" w:rsidRDefault="00CC4957" w:rsidP="00262302"/>
          <w:p w14:paraId="4697ACAF" w14:textId="77777777" w:rsidR="00CC4957" w:rsidRDefault="00CC4957" w:rsidP="00262302">
            <w:r>
              <w:t xml:space="preserve">Ocenjevalci naj bodo pozorni tudi na poznavanje </w:t>
            </w:r>
            <w:r w:rsidRPr="00AB3AAC">
              <w:t>razlik</w:t>
            </w:r>
            <w:r>
              <w:t>e</w:t>
            </w:r>
            <w:r w:rsidRPr="00AB3AAC">
              <w:t xml:space="preserve"> med izpuhom in hitrim izpuhom</w:t>
            </w:r>
            <w:r>
              <w:t>.</w:t>
            </w:r>
          </w:p>
        </w:tc>
      </w:tr>
      <w:tr w:rsidR="00CC4957" w14:paraId="453C719E" w14:textId="77777777" w:rsidTr="00E816BE">
        <w:trPr>
          <w:trHeight w:val="567"/>
          <w:jc w:val="center"/>
        </w:trPr>
        <w:tc>
          <w:tcPr>
            <w:tcW w:w="2972" w:type="dxa"/>
          </w:tcPr>
          <w:p w14:paraId="002CE771" w14:textId="77777777" w:rsidR="00CC4957" w:rsidRDefault="00CC4957" w:rsidP="00E816BE">
            <w:r w:rsidRPr="00D166F5">
              <w:t xml:space="preserve">EEC prve overitve </w:t>
            </w:r>
            <w:r w:rsidRPr="00BC2EF6">
              <w:rPr>
                <w:b/>
              </w:rPr>
              <w:t>merilnikov tlaka v pnevmatikah</w:t>
            </w:r>
            <w:r w:rsidRPr="00D166F5">
              <w:t xml:space="preserve"> </w:t>
            </w:r>
          </w:p>
          <w:p w14:paraId="55B79551" w14:textId="77777777" w:rsidR="00CC4957" w:rsidRPr="00D166F5" w:rsidRDefault="00CC4957" w:rsidP="00E816BE"/>
        </w:tc>
        <w:tc>
          <w:tcPr>
            <w:tcW w:w="5690" w:type="dxa"/>
          </w:tcPr>
          <w:p w14:paraId="7EE83843" w14:textId="77777777" w:rsidR="00CC4957" w:rsidRDefault="00FB2FB3" w:rsidP="00E816BE">
            <w:hyperlink r:id="rId9" w:history="1">
              <w:r w:rsidR="00CC4957" w:rsidRPr="0099627D">
                <w:rPr>
                  <w:rStyle w:val="Hiperpovezava"/>
                </w:rPr>
                <w:t>http://www.pisrs.si/Pis.web/pregledPredpisa?id=PRAV523</w:t>
              </w:r>
            </w:hyperlink>
          </w:p>
          <w:p w14:paraId="2DC369E3" w14:textId="77777777" w:rsidR="00CC4957" w:rsidRDefault="00CC4957" w:rsidP="00E816BE">
            <w:r>
              <w:t xml:space="preserve">EU Direktiva je bila preklicana. </w:t>
            </w:r>
          </w:p>
          <w:p w14:paraId="3CC1F392" w14:textId="77777777" w:rsidR="00CC4957" w:rsidRDefault="00CC4957" w:rsidP="00E816BE">
            <w:r>
              <w:t>10 letno prehodno obdobje za izvajanje prvih kontrol sicer še velja, a jih po info. MIRS-a nihče ne izvaja.</w:t>
            </w:r>
          </w:p>
          <w:p w14:paraId="77A9F42A" w14:textId="77777777" w:rsidR="00CC4957" w:rsidRDefault="00CC4957" w:rsidP="00E816BE"/>
        </w:tc>
        <w:tc>
          <w:tcPr>
            <w:tcW w:w="7040" w:type="dxa"/>
          </w:tcPr>
          <w:p w14:paraId="4E08DE14" w14:textId="77777777" w:rsidR="00CC4957" w:rsidRDefault="00CC4957" w:rsidP="00E816BE">
            <w:r>
              <w:t>Pri postopkih akreditiranja je potrebno preveriti, ali je EEC prva kontrola v obsegu za akreditacijo. Če je, preveriti, ali se zanjo zagotavlja usposobljenost, sicer predlagati krčitev obsega.</w:t>
            </w:r>
          </w:p>
        </w:tc>
      </w:tr>
      <w:tr w:rsidR="000B3553" w:rsidRPr="00FD130D" w14:paraId="21B48FB1" w14:textId="77777777" w:rsidTr="00D51117">
        <w:trPr>
          <w:trHeight w:val="622"/>
          <w:jc w:val="center"/>
        </w:trPr>
        <w:tc>
          <w:tcPr>
            <w:tcW w:w="15702" w:type="dxa"/>
            <w:gridSpan w:val="3"/>
            <w:shd w:val="clear" w:color="auto" w:fill="FFFF00"/>
            <w:vAlign w:val="center"/>
          </w:tcPr>
          <w:p w14:paraId="4DCBE247" w14:textId="77777777" w:rsidR="000B3553" w:rsidRPr="00FD130D" w:rsidRDefault="000B3553" w:rsidP="00672628">
            <w:pPr>
              <w:jc w:val="center"/>
              <w:rPr>
                <w:b/>
              </w:rPr>
            </w:pPr>
            <w:bookmarkStart w:id="3" w:name="_Hlk11138843"/>
            <w:bookmarkEnd w:id="2"/>
            <w:r>
              <w:rPr>
                <w:b/>
              </w:rPr>
              <w:t>MERILNI SISTEMI ZA KOLIČINO TEKOČIN RAZEN VODE</w:t>
            </w:r>
          </w:p>
        </w:tc>
      </w:tr>
      <w:tr w:rsidR="000B3553" w14:paraId="369167A2" w14:textId="77777777" w:rsidTr="00672628">
        <w:trPr>
          <w:trHeight w:val="1809"/>
          <w:jc w:val="center"/>
        </w:trPr>
        <w:tc>
          <w:tcPr>
            <w:tcW w:w="2972" w:type="dxa"/>
          </w:tcPr>
          <w:p w14:paraId="26F9413C" w14:textId="77777777" w:rsidR="000B3553" w:rsidRDefault="000B3553" w:rsidP="00672628">
            <w:r w:rsidRPr="00BC2EF6">
              <w:rPr>
                <w:b/>
              </w:rPr>
              <w:t>Merilni sistemi za tekočine razen vode</w:t>
            </w:r>
            <w:r w:rsidRPr="00D166F5">
              <w:t xml:space="preserve">: (ne)izkoriščanje NDP pri izrednih overitvah (naravnavanje na pogrešek 0) </w:t>
            </w:r>
          </w:p>
          <w:p w14:paraId="43485CA9" w14:textId="77777777" w:rsidR="000B3553" w:rsidRPr="00D166F5" w:rsidRDefault="000B3553" w:rsidP="00672628"/>
        </w:tc>
        <w:tc>
          <w:tcPr>
            <w:tcW w:w="5690" w:type="dxa"/>
          </w:tcPr>
          <w:p w14:paraId="4A178C45" w14:textId="77777777" w:rsidR="000B3553" w:rsidRDefault="00FB2FB3" w:rsidP="00672628">
            <w:hyperlink r:id="rId10" w:history="1">
              <w:r w:rsidR="000B3553" w:rsidRPr="006A53F6">
                <w:rPr>
                  <w:rStyle w:val="Hiperpovezava"/>
                </w:rPr>
                <w:t>http://pisrs.si/Pis.web/pregledPredpisa?id=PRAV12437</w:t>
              </w:r>
            </w:hyperlink>
          </w:p>
          <w:p w14:paraId="046D1AD9" w14:textId="77777777" w:rsidR="000B3553" w:rsidRDefault="000B3553" w:rsidP="00672628"/>
          <w:p w14:paraId="600674B6" w14:textId="77777777" w:rsidR="000B3553" w:rsidRDefault="000B3553" w:rsidP="00672628">
            <w:r>
              <w:t>Izredna overitve: pri nekaterih KO-jih smo na ocenjevanjih, tudi pri meroslovnem nadzoru, ugotovili, da rezultati kontrole izkazujejo v veliki večini pogrešek istega predznaka.</w:t>
            </w:r>
          </w:p>
          <w:p w14:paraId="27386472" w14:textId="77777777" w:rsidR="00B876B2" w:rsidRDefault="00B876B2" w:rsidP="00672628"/>
          <w:p w14:paraId="68AB99E5" w14:textId="72B86645" w:rsidR="00B876B2" w:rsidRDefault="00B876B2" w:rsidP="00672628"/>
        </w:tc>
        <w:tc>
          <w:tcPr>
            <w:tcW w:w="7040" w:type="dxa"/>
          </w:tcPr>
          <w:p w14:paraId="1A3BE6B2" w14:textId="77777777" w:rsidR="000B3553" w:rsidRDefault="000B3553" w:rsidP="00672628">
            <w:r>
              <w:t>Na ocenjevanjih:</w:t>
            </w:r>
          </w:p>
          <w:p w14:paraId="070E01DA" w14:textId="77777777" w:rsidR="000B3553" w:rsidRDefault="000B3553" w:rsidP="00672628">
            <w:r>
              <w:t xml:space="preserve">- preveriti, ali so </w:t>
            </w:r>
            <w:r w:rsidRPr="00A1516C">
              <w:rPr>
                <w:b/>
              </w:rPr>
              <w:t>izredne overitve</w:t>
            </w:r>
            <w:r>
              <w:t xml:space="preserve"> vedno jasno identificirane kot take (vedno sledijo naravnavanju, servisiranju…)</w:t>
            </w:r>
          </w:p>
          <w:p w14:paraId="3F69AABD" w14:textId="77777777" w:rsidR="000B3553" w:rsidRDefault="000B3553" w:rsidP="00672628">
            <w:r>
              <w:t xml:space="preserve">- spremljati, ali je KO preveril, </w:t>
            </w:r>
            <w:r w:rsidRPr="00A1516C">
              <w:rPr>
                <w:b/>
              </w:rPr>
              <w:t>kakšne aktivnosti je izvedel servis</w:t>
            </w:r>
            <w:r>
              <w:t>, da je zagotovil najmanjše odstopanje kazanja od nazivne vrednosti (če najmanjše odstopanje kazanja ni zagotovljeno, se overitev zavrne)</w:t>
            </w:r>
          </w:p>
          <w:p w14:paraId="53C7E462" w14:textId="77777777" w:rsidR="000B3553" w:rsidRDefault="000B3553" w:rsidP="00672628"/>
        </w:tc>
      </w:tr>
      <w:tr w:rsidR="00FD130D" w:rsidRPr="00FD130D" w14:paraId="2ECDD3C1" w14:textId="77777777" w:rsidTr="00D51117">
        <w:trPr>
          <w:trHeight w:val="622"/>
          <w:jc w:val="center"/>
        </w:trPr>
        <w:tc>
          <w:tcPr>
            <w:tcW w:w="15702" w:type="dxa"/>
            <w:gridSpan w:val="3"/>
            <w:shd w:val="clear" w:color="auto" w:fill="FFFF00"/>
            <w:vAlign w:val="center"/>
          </w:tcPr>
          <w:p w14:paraId="3ADF97C2" w14:textId="33F0B309" w:rsidR="00FD130D" w:rsidRPr="00FD130D" w:rsidRDefault="000B3553" w:rsidP="005528CC">
            <w:pPr>
              <w:jc w:val="center"/>
              <w:rPr>
                <w:b/>
              </w:rPr>
            </w:pPr>
            <w:r>
              <w:rPr>
                <w:b/>
              </w:rPr>
              <w:t>NAPRAVE Z VALJI ZA PREVERJENJE ZAVIRALN</w:t>
            </w:r>
            <w:r w:rsidR="009F54AB">
              <w:rPr>
                <w:b/>
              </w:rPr>
              <w:t>E</w:t>
            </w:r>
            <w:r>
              <w:rPr>
                <w:b/>
              </w:rPr>
              <w:t xml:space="preserve"> SILE</w:t>
            </w:r>
            <w:r w:rsidR="00D76EA1">
              <w:rPr>
                <w:b/>
              </w:rPr>
              <w:t xml:space="preserve"> (ter tehtnice, ki so del naprave z valji in manometri za merjenje tlaka v </w:t>
            </w:r>
            <w:proofErr w:type="spellStart"/>
            <w:r w:rsidR="00D76EA1">
              <w:rPr>
                <w:b/>
              </w:rPr>
              <w:t>zav</w:t>
            </w:r>
            <w:proofErr w:type="spellEnd"/>
            <w:r w:rsidR="00D76EA1">
              <w:rPr>
                <w:b/>
              </w:rPr>
              <w:t>. sistemu)</w:t>
            </w:r>
            <w:r>
              <w:rPr>
                <w:b/>
              </w:rPr>
              <w:t xml:space="preserve"> </w:t>
            </w:r>
          </w:p>
        </w:tc>
      </w:tr>
      <w:tr w:rsidR="001673D1" w14:paraId="785625FB" w14:textId="77777777" w:rsidTr="00A1516C">
        <w:trPr>
          <w:trHeight w:val="1809"/>
          <w:jc w:val="center"/>
        </w:trPr>
        <w:tc>
          <w:tcPr>
            <w:tcW w:w="2972" w:type="dxa"/>
          </w:tcPr>
          <w:p w14:paraId="4DA48252" w14:textId="08CE6AFF" w:rsidR="001673D1" w:rsidRPr="00D166F5" w:rsidRDefault="001673D1" w:rsidP="001673D1">
            <w:r w:rsidRPr="0040749E">
              <w:rPr>
                <w:b/>
                <w:bCs/>
              </w:rPr>
              <w:t>Naprave z valji za preverjanje zaviralne sile</w:t>
            </w:r>
            <w:r>
              <w:t xml:space="preserve"> z vgrajeno tehtnico oz. merilniki tlaka v zavornem sistemu</w:t>
            </w:r>
          </w:p>
        </w:tc>
        <w:tc>
          <w:tcPr>
            <w:tcW w:w="5690" w:type="dxa"/>
          </w:tcPr>
          <w:p w14:paraId="18714615" w14:textId="2AE6F448" w:rsidR="001673D1" w:rsidRDefault="00FB2FB3" w:rsidP="001673D1">
            <w:hyperlink r:id="rId11" w:history="1">
              <w:r w:rsidR="001673D1" w:rsidRPr="0072766A">
                <w:rPr>
                  <w:rStyle w:val="Hiperpovezava"/>
                </w:rPr>
                <w:t>http://pisrs.si/Pis.web/pregledPredpisa?id=PRAV9781</w:t>
              </w:r>
            </w:hyperlink>
          </w:p>
          <w:p w14:paraId="6161CEF4" w14:textId="77777777" w:rsidR="001673D1" w:rsidRDefault="001673D1" w:rsidP="001673D1"/>
          <w:p w14:paraId="0A22FE06" w14:textId="77777777" w:rsidR="001673D1" w:rsidRDefault="001673D1" w:rsidP="001673D1">
            <w:r>
              <w:t xml:space="preserve">V primeru, ko ima naprava z valji za preverjanje zaviralne sile vgrajeno tehtnico in/ali merilnike tlaka v zavornem sistemu, mora kontrolni organ v postopku overitve naprave z valji preveriti tudi </w:t>
            </w:r>
            <w:proofErr w:type="spellStart"/>
            <w:r>
              <w:t>metrološke</w:t>
            </w:r>
            <w:proofErr w:type="spellEnd"/>
            <w:r>
              <w:t xml:space="preserve"> lastnosti tehtnice oz. merilnikov tlaka.</w:t>
            </w:r>
          </w:p>
          <w:p w14:paraId="7B77D709" w14:textId="77777777" w:rsidR="001673D1" w:rsidRDefault="001673D1" w:rsidP="001673D1"/>
          <w:p w14:paraId="3F817093" w14:textId="77777777" w:rsidR="001673D1" w:rsidRDefault="001673D1" w:rsidP="001673D1">
            <w:r>
              <w:t xml:space="preserve">Preverjanje se izvede s postopkom kalibracije ali kontrole, ki ga lahko izvede kontrolni organ sam ali akreditirani podpogodbenik. </w:t>
            </w:r>
          </w:p>
          <w:p w14:paraId="63C89E6D" w14:textId="77777777" w:rsidR="001673D1" w:rsidRDefault="001673D1" w:rsidP="001673D1"/>
          <w:p w14:paraId="25342950" w14:textId="4FEEA55E" w:rsidR="001673D1" w:rsidRDefault="001673D1" w:rsidP="001673D1">
            <w:r>
              <w:t>Kontrolni organ rezultate preverjanja tehtnice/merilnikov tlaka vključi v poročilo o kontroli naprave z valji, lahko pa poročilu o kontroli naprave z valji priloži kalibracijske certifikate oz. poročila o kontroli za tehtnico oz. merilnike tlaka.</w:t>
            </w:r>
          </w:p>
          <w:p w14:paraId="4C9A5976" w14:textId="1A1C6F83" w:rsidR="001673D1" w:rsidRDefault="001673D1" w:rsidP="001673D1">
            <w:r>
              <w:t>V Poročilu o kontroli naprave z valji kontrolni organ poda izjavo o skladnosti (sestavljenega) predmeta kontrole z zahtevami Pravilnika, tako da je jasno, da je skladnost ugotovljena za napravo z valji, ki vključuje tehtnico oz. merilnike tlaka v zavornem sistemu.</w:t>
            </w:r>
          </w:p>
        </w:tc>
        <w:tc>
          <w:tcPr>
            <w:tcW w:w="7040" w:type="dxa"/>
          </w:tcPr>
          <w:p w14:paraId="763CE859" w14:textId="77777777" w:rsidR="001673D1" w:rsidRDefault="001673D1" w:rsidP="001673D1">
            <w:r>
              <w:t>Pregled poročanja – preveriti:</w:t>
            </w:r>
          </w:p>
          <w:p w14:paraId="19AAA521" w14:textId="77777777" w:rsidR="001673D1" w:rsidRDefault="001673D1" w:rsidP="001673D1">
            <w:r>
              <w:t xml:space="preserve">- ali so v poročilu o overitvi naprave z valji ustrezno poroča o rezultatih kontrole oz. kalibracije tehtnice in merilnikov tlaka v </w:t>
            </w:r>
            <w:proofErr w:type="spellStart"/>
            <w:r>
              <w:t>zav</w:t>
            </w:r>
            <w:proofErr w:type="spellEnd"/>
            <w:r>
              <w:t>. sistemu</w:t>
            </w:r>
          </w:p>
          <w:p w14:paraId="428DB423" w14:textId="69226C31" w:rsidR="001673D1" w:rsidRDefault="001673D1" w:rsidP="001673D1">
            <w:r>
              <w:t>- ali se uporabi sklic na akreditacijo na certifikatih o kalibraciji oz. poročilih o kontroli tehtnice in merilnikov tlaka</w:t>
            </w:r>
          </w:p>
          <w:p w14:paraId="514471B0" w14:textId="77777777" w:rsidR="001673D1" w:rsidRDefault="001673D1" w:rsidP="001673D1">
            <w:r>
              <w:t>- ali je v izjavi o skladnosti v Poročilu o overitvi naprave z valji jasno opredeljeno, da je skladnost ugotovljena za napravo z valji, ki vključuje tehtnico in/ali merilnike tlaka.</w:t>
            </w:r>
          </w:p>
          <w:p w14:paraId="2ED3399E" w14:textId="25131E19" w:rsidR="001673D1" w:rsidRDefault="001673D1" w:rsidP="001673D1"/>
        </w:tc>
      </w:tr>
      <w:tr w:rsidR="00D76EA1" w14:paraId="2F8A414C" w14:textId="77777777" w:rsidTr="00A1516C">
        <w:trPr>
          <w:trHeight w:val="1809"/>
          <w:jc w:val="center"/>
        </w:trPr>
        <w:tc>
          <w:tcPr>
            <w:tcW w:w="2972" w:type="dxa"/>
          </w:tcPr>
          <w:p w14:paraId="580F420F" w14:textId="14B84CCB" w:rsidR="00D76EA1" w:rsidRPr="0040749E" w:rsidRDefault="00D76EA1" w:rsidP="001673D1">
            <w:pPr>
              <w:rPr>
                <w:b/>
                <w:bCs/>
              </w:rPr>
            </w:pPr>
            <w:r w:rsidRPr="0040749E">
              <w:rPr>
                <w:b/>
                <w:bCs/>
              </w:rPr>
              <w:t>Naprave z valji za preverjanje zaviralne sile</w:t>
            </w:r>
            <w:r>
              <w:t xml:space="preserve"> z vgrajeno tehtnico oz. merilniki tlaka v zavornem sistemu</w:t>
            </w:r>
          </w:p>
        </w:tc>
        <w:tc>
          <w:tcPr>
            <w:tcW w:w="5690" w:type="dxa"/>
          </w:tcPr>
          <w:p w14:paraId="5C662592" w14:textId="090CA47F" w:rsidR="00D76EA1" w:rsidRDefault="00D76EA1" w:rsidP="001673D1">
            <w:r>
              <w:t xml:space="preserve">Kakšna so potrebna </w:t>
            </w:r>
            <w:r w:rsidRPr="00D76EA1">
              <w:t>meriln</w:t>
            </w:r>
            <w:r>
              <w:t>a</w:t>
            </w:r>
            <w:r w:rsidRPr="00D76EA1">
              <w:t xml:space="preserve"> območjih, v katerih je potrebno kalibrirati tehtnice oz. manometre, ki so del naprave z valji.</w:t>
            </w:r>
          </w:p>
        </w:tc>
        <w:tc>
          <w:tcPr>
            <w:tcW w:w="7040" w:type="dxa"/>
          </w:tcPr>
          <w:p w14:paraId="1E0B6568" w14:textId="40BFDDFC" w:rsidR="00D76EA1" w:rsidRDefault="00D76EA1" w:rsidP="00D76EA1">
            <w:r>
              <w:t>Pravilnik o meroslovnih zahtevah za naprave z valji za preverjanje zaviralne sile (Uradni list RS, št. 91/09)</w:t>
            </w:r>
            <w:r>
              <w:t xml:space="preserve"> določa</w:t>
            </w:r>
            <w:r>
              <w:t xml:space="preserve">: </w:t>
            </w:r>
          </w:p>
          <w:p w14:paraId="363E03B3" w14:textId="77777777" w:rsidR="00D76EA1" w:rsidRDefault="00D76EA1" w:rsidP="00D76EA1"/>
          <w:p w14:paraId="0420B75B" w14:textId="77777777" w:rsidR="00D76EA1" w:rsidRDefault="00D76EA1" w:rsidP="00D76EA1">
            <w:r>
              <w:t xml:space="preserve">23. člen </w:t>
            </w:r>
          </w:p>
          <w:p w14:paraId="7626E2EA" w14:textId="77777777" w:rsidR="00D76EA1" w:rsidRDefault="00D76EA1" w:rsidP="00D76EA1"/>
          <w:p w14:paraId="4CDC2870" w14:textId="77777777" w:rsidR="00D76EA1" w:rsidRDefault="00D76EA1" w:rsidP="00D76EA1">
            <w:r>
              <w:t xml:space="preserve">(2) Če ima naprava z valji vgrajeno tehtnico, mora biti za tehtanje: </w:t>
            </w:r>
          </w:p>
          <w:p w14:paraId="35082D3A" w14:textId="1E9FFC03" w:rsidR="00D76EA1" w:rsidRDefault="00D76EA1" w:rsidP="00D76EA1">
            <w:r>
              <w:t xml:space="preserve">- osebnih vozil tehtnica pregledana v vsaj štirih merilnih točkah. Prva merilna točka mora biti pregledana med 10% in 15% merilnega območja tehtnice, zadnja merilna točka mora biti pregledana pri obremenitvi večji od 80% merilnega območja; </w:t>
            </w:r>
          </w:p>
          <w:p w14:paraId="15BBCA10" w14:textId="3D7465CD" w:rsidR="00D76EA1" w:rsidRDefault="00D76EA1" w:rsidP="00D76EA1">
            <w:r>
              <w:t xml:space="preserve">- tovornih vozilih tehtnica pregledana v vsaj štirih merilnih točkah. Prva merilna točka mora biti pregledana med 10% in 15% merilnega območja tehtnice, zadnja merilna točka mora biti pregledana pri obremenitvi vsaj 6500 kg; </w:t>
            </w:r>
          </w:p>
          <w:p w14:paraId="60437FEF" w14:textId="24EBCDE7" w:rsidR="00D76EA1" w:rsidRDefault="00D76EA1" w:rsidP="00D76EA1">
            <w:r>
              <w:t xml:space="preserve">- tovornih in osebnih vozilih (kombinirana naprava) tehtnica pregledana v vsaj štirih merilnih točkah. Prva merilna točka mora biti v območju do 200 kg, zadnja merilna točka mora biti pregledana pri obremenitvi vsaj 6500 kg; </w:t>
            </w:r>
          </w:p>
          <w:p w14:paraId="188FCF8A" w14:textId="11E5E271" w:rsidR="00D76EA1" w:rsidRDefault="00D76EA1" w:rsidP="00D76EA1">
            <w:r>
              <w:t xml:space="preserve">- motornih koles tehtnica pregledana v vsaj štirih merilnih točkah. Prva merilna točka mora biti pregledana med 10% in 15% merilnega območja tehtnice, zadnja merilna točka mora biti pregledana pri obremenitvi vsaj 200 kg. </w:t>
            </w:r>
          </w:p>
          <w:p w14:paraId="6019A132" w14:textId="77777777" w:rsidR="00D76EA1" w:rsidRDefault="00D76EA1" w:rsidP="00D76EA1"/>
          <w:p w14:paraId="5249E09E" w14:textId="77777777" w:rsidR="00D76EA1" w:rsidRDefault="00D76EA1" w:rsidP="00D76EA1">
            <w:r>
              <w:t xml:space="preserve">(3) Merilniki tlaka morajo biti pregledani </w:t>
            </w:r>
            <w:r w:rsidRPr="00D76EA1">
              <w:rPr>
                <w:color w:val="FF0000"/>
              </w:rPr>
              <w:t>v vsaj petih merilnih točkah</w:t>
            </w:r>
            <w:r>
              <w:t xml:space="preserve">, enakomerno porazdeljenih po merilnem področju, z naraščajočim in padajočim tlakom. </w:t>
            </w:r>
          </w:p>
          <w:p w14:paraId="773AE4FD" w14:textId="77777777" w:rsidR="00D76EA1" w:rsidRDefault="00D76EA1" w:rsidP="00D76EA1"/>
          <w:p w14:paraId="296FA4B7" w14:textId="5EAA69CD" w:rsidR="00D76EA1" w:rsidRDefault="00D76EA1" w:rsidP="00D76EA1">
            <w:r>
              <w:t>-----------------------------</w:t>
            </w:r>
          </w:p>
          <w:p w14:paraId="3B0EBC0D" w14:textId="16C024EA" w:rsidR="00D76EA1" w:rsidRDefault="00D76EA1" w:rsidP="00D76EA1">
            <w:r>
              <w:t>Če gre za osebna vozila, velja za tehtnice prva alineja 2. odstavka in bi morala biti tehtnica kalibr</w:t>
            </w:r>
            <w:r>
              <w:t>ira</w:t>
            </w:r>
            <w:r>
              <w:t xml:space="preserve">na pri 80 % Max ali več. Če </w:t>
            </w:r>
            <w:r>
              <w:t>gre</w:t>
            </w:r>
            <w:r>
              <w:t xml:space="preserve"> za kombinirano napravo, pa velja tretja alineja drugega odstavka. </w:t>
            </w:r>
          </w:p>
          <w:p w14:paraId="3F5101B5" w14:textId="77777777" w:rsidR="00D76EA1" w:rsidRDefault="00D76EA1" w:rsidP="00D76EA1"/>
          <w:p w14:paraId="311CA52F" w14:textId="08737C17" w:rsidR="00D76EA1" w:rsidRDefault="00D76EA1" w:rsidP="00D76EA1">
            <w:r>
              <w:t xml:space="preserve">Priloga 1 Pravilnika o tehničnih pregledih motornih in priklopnih vozil (Uradni list RS, št. 43/19) navaja drugačne podrobnosti. </w:t>
            </w:r>
          </w:p>
          <w:p w14:paraId="516C39C6" w14:textId="77777777" w:rsidR="00D76EA1" w:rsidRDefault="00D76EA1" w:rsidP="00D76EA1"/>
          <w:p w14:paraId="21BB656E" w14:textId="6060D240" w:rsidR="00D76EA1" w:rsidRPr="00D76EA1" w:rsidRDefault="00D76EA1" w:rsidP="00D76EA1">
            <w:pPr>
              <w:rPr>
                <w:b/>
                <w:bCs/>
              </w:rPr>
            </w:pPr>
            <w:r w:rsidRPr="00D76EA1">
              <w:rPr>
                <w:b/>
                <w:bCs/>
              </w:rPr>
              <w:t xml:space="preserve">a) </w:t>
            </w:r>
            <w:r w:rsidRPr="00D76EA1">
              <w:rPr>
                <w:b/>
                <w:bCs/>
              </w:rPr>
              <w:t>P</w:t>
            </w:r>
            <w:r w:rsidRPr="00D76EA1">
              <w:rPr>
                <w:b/>
                <w:bCs/>
              </w:rPr>
              <w:t>otrebno</w:t>
            </w:r>
            <w:r w:rsidRPr="00D76EA1">
              <w:rPr>
                <w:b/>
                <w:bCs/>
              </w:rPr>
              <w:t xml:space="preserve"> je, da so </w:t>
            </w:r>
            <w:r w:rsidRPr="00D76EA1">
              <w:rPr>
                <w:b/>
                <w:bCs/>
              </w:rPr>
              <w:t xml:space="preserve">pri postopku kontrole </w:t>
            </w:r>
            <w:r w:rsidRPr="00D76EA1">
              <w:rPr>
                <w:b/>
                <w:bCs/>
              </w:rPr>
              <w:t>izpolnjene zahteve obeh pravilnikov</w:t>
            </w:r>
            <w:r w:rsidRPr="00D76EA1">
              <w:rPr>
                <w:b/>
                <w:bCs/>
              </w:rPr>
              <w:t xml:space="preserve"> glede merilnega območja.</w:t>
            </w:r>
          </w:p>
          <w:p w14:paraId="66CAB4B7" w14:textId="77777777" w:rsidR="00D76EA1" w:rsidRPr="00D76EA1" w:rsidRDefault="00D76EA1" w:rsidP="00D76EA1">
            <w:pPr>
              <w:rPr>
                <w:b/>
                <w:bCs/>
              </w:rPr>
            </w:pPr>
          </w:p>
          <w:p w14:paraId="55BC3000" w14:textId="4E6CE2F9" w:rsidR="00D76EA1" w:rsidRDefault="00D76EA1" w:rsidP="00D76EA1">
            <w:r w:rsidRPr="00D76EA1">
              <w:rPr>
                <w:b/>
                <w:bCs/>
              </w:rPr>
              <w:t xml:space="preserve">b) </w:t>
            </w:r>
            <w:r w:rsidRPr="00D76EA1">
              <w:rPr>
                <w:b/>
                <w:bCs/>
              </w:rPr>
              <w:t>Pri merilnikih tlaka</w:t>
            </w:r>
            <w:r w:rsidRPr="00D76EA1">
              <w:rPr>
                <w:b/>
                <w:bCs/>
              </w:rPr>
              <w:t xml:space="preserve"> v </w:t>
            </w:r>
            <w:proofErr w:type="spellStart"/>
            <w:r w:rsidRPr="00D76EA1">
              <w:rPr>
                <w:b/>
                <w:bCs/>
              </w:rPr>
              <w:t>zav</w:t>
            </w:r>
            <w:proofErr w:type="spellEnd"/>
            <w:r w:rsidRPr="00D76EA1">
              <w:rPr>
                <w:b/>
                <w:bCs/>
              </w:rPr>
              <w:t>. sistemu</w:t>
            </w:r>
            <w:r w:rsidRPr="00D76EA1">
              <w:rPr>
                <w:b/>
                <w:bCs/>
              </w:rPr>
              <w:t xml:space="preserve"> </w:t>
            </w:r>
            <w:r w:rsidRPr="00D76EA1">
              <w:rPr>
                <w:b/>
                <w:bCs/>
              </w:rPr>
              <w:t>(</w:t>
            </w:r>
            <w:r w:rsidRPr="00D76EA1">
              <w:rPr>
                <w:b/>
                <w:bCs/>
              </w:rPr>
              <w:t>3. odstav</w:t>
            </w:r>
            <w:r w:rsidRPr="00D76EA1">
              <w:rPr>
                <w:b/>
                <w:bCs/>
              </w:rPr>
              <w:t>e</w:t>
            </w:r>
            <w:r w:rsidRPr="00D76EA1">
              <w:rPr>
                <w:b/>
                <w:bCs/>
              </w:rPr>
              <w:t>k</w:t>
            </w:r>
            <w:r w:rsidRPr="00D76EA1">
              <w:rPr>
                <w:b/>
                <w:bCs/>
              </w:rPr>
              <w:t>)</w:t>
            </w:r>
            <w:r w:rsidRPr="00D76EA1">
              <w:rPr>
                <w:b/>
                <w:bCs/>
              </w:rPr>
              <w:t xml:space="preserve"> ni navede</w:t>
            </w:r>
            <w:r w:rsidRPr="00D76EA1">
              <w:rPr>
                <w:b/>
                <w:bCs/>
              </w:rPr>
              <w:t>na natančna vrednost merilnega območja kalibracije</w:t>
            </w:r>
            <w:r w:rsidRPr="00D76EA1">
              <w:rPr>
                <w:b/>
                <w:bCs/>
              </w:rPr>
              <w:t>. Ocena bi bila, da je to 80 % ali več.</w:t>
            </w:r>
          </w:p>
        </w:tc>
      </w:tr>
      <w:bookmarkEnd w:id="3"/>
    </w:tbl>
    <w:p w14:paraId="741FD982" w14:textId="74EAC933" w:rsidR="00105E66" w:rsidRDefault="00105E66"/>
    <w:p w14:paraId="6E359EDD" w14:textId="77777777" w:rsidR="00105E66" w:rsidRDefault="00105E66">
      <w:r>
        <w:br w:type="page"/>
      </w:r>
    </w:p>
    <w:tbl>
      <w:tblPr>
        <w:tblStyle w:val="Tabelamrea"/>
        <w:tblW w:w="15702" w:type="dxa"/>
        <w:jc w:val="center"/>
        <w:tblLook w:val="04A0" w:firstRow="1" w:lastRow="0" w:firstColumn="1" w:lastColumn="0" w:noHBand="0" w:noVBand="1"/>
      </w:tblPr>
      <w:tblGrid>
        <w:gridCol w:w="2972"/>
        <w:gridCol w:w="5690"/>
        <w:gridCol w:w="7040"/>
      </w:tblGrid>
      <w:tr w:rsidR="00FD130D" w:rsidRPr="00FD130D" w14:paraId="2ED50851" w14:textId="77777777" w:rsidTr="00BF4406">
        <w:trPr>
          <w:trHeight w:val="567"/>
          <w:tblHeader/>
          <w:jc w:val="center"/>
        </w:trPr>
        <w:tc>
          <w:tcPr>
            <w:tcW w:w="15702" w:type="dxa"/>
            <w:gridSpan w:val="3"/>
            <w:shd w:val="clear" w:color="auto" w:fill="A8D08D" w:themeFill="accent6" w:themeFillTint="99"/>
            <w:vAlign w:val="center"/>
          </w:tcPr>
          <w:p w14:paraId="1BFC083F" w14:textId="77777777" w:rsidR="00FD130D" w:rsidRPr="00FD130D" w:rsidRDefault="00FD130D" w:rsidP="005528CC">
            <w:pPr>
              <w:jc w:val="center"/>
              <w:rPr>
                <w:b/>
              </w:rPr>
            </w:pPr>
            <w:r>
              <w:rPr>
                <w:b/>
              </w:rPr>
              <w:t>SPLOŠNE ZAHTEVE</w:t>
            </w:r>
          </w:p>
        </w:tc>
      </w:tr>
      <w:tr w:rsidR="00084617" w:rsidRPr="00084617" w14:paraId="43D65AA3" w14:textId="77777777" w:rsidTr="00BF4406">
        <w:trPr>
          <w:trHeight w:val="567"/>
          <w:tblHeader/>
          <w:jc w:val="center"/>
        </w:trPr>
        <w:tc>
          <w:tcPr>
            <w:tcW w:w="8662" w:type="dxa"/>
            <w:gridSpan w:val="2"/>
            <w:shd w:val="clear" w:color="auto" w:fill="D9E2F3" w:themeFill="accent1" w:themeFillTint="33"/>
            <w:vAlign w:val="center"/>
          </w:tcPr>
          <w:p w14:paraId="0D738832" w14:textId="29DEB5CC" w:rsidR="00084617" w:rsidRPr="00084617" w:rsidRDefault="00084617" w:rsidP="00084617">
            <w:pPr>
              <w:jc w:val="center"/>
              <w:rPr>
                <w:b/>
                <w:bCs/>
              </w:rPr>
            </w:pPr>
            <w:r w:rsidRPr="00084617">
              <w:rPr>
                <w:b/>
                <w:bCs/>
              </w:rPr>
              <w:t>Vprašanje, nejasnost</w:t>
            </w:r>
          </w:p>
        </w:tc>
        <w:tc>
          <w:tcPr>
            <w:tcW w:w="7040" w:type="dxa"/>
            <w:shd w:val="clear" w:color="auto" w:fill="D9E2F3" w:themeFill="accent1" w:themeFillTint="33"/>
            <w:vAlign w:val="center"/>
          </w:tcPr>
          <w:p w14:paraId="243C996B" w14:textId="24DF8839" w:rsidR="00084617" w:rsidRPr="00084617" w:rsidRDefault="00084617" w:rsidP="00084617">
            <w:pPr>
              <w:jc w:val="center"/>
              <w:rPr>
                <w:b/>
                <w:bCs/>
              </w:rPr>
            </w:pPr>
            <w:r w:rsidRPr="00084617">
              <w:rPr>
                <w:b/>
                <w:bCs/>
              </w:rPr>
              <w:t>Dogovor MIRS-SA, usmeritev za ocenjevanja SA</w:t>
            </w:r>
          </w:p>
        </w:tc>
      </w:tr>
      <w:tr w:rsidR="00A32C52" w14:paraId="6C24DE4D" w14:textId="77777777" w:rsidTr="00BF4406">
        <w:trPr>
          <w:trHeight w:val="567"/>
          <w:jc w:val="center"/>
        </w:trPr>
        <w:tc>
          <w:tcPr>
            <w:tcW w:w="2972" w:type="dxa"/>
          </w:tcPr>
          <w:p w14:paraId="3DACE471" w14:textId="77777777" w:rsidR="00A32C52" w:rsidRPr="00D166F5" w:rsidRDefault="00A32C52" w:rsidP="00FC34B5">
            <w:r w:rsidRPr="00D166F5">
              <w:t xml:space="preserve">Vsebina in naslov </w:t>
            </w:r>
            <w:r w:rsidR="00CC4957">
              <w:t>»</w:t>
            </w:r>
            <w:r>
              <w:rPr>
                <w:b/>
              </w:rPr>
              <w:t>P</w:t>
            </w:r>
            <w:r w:rsidRPr="00BC2EF6">
              <w:rPr>
                <w:b/>
              </w:rPr>
              <w:t>oročila o overitvi</w:t>
            </w:r>
            <w:r w:rsidR="00CC4957">
              <w:rPr>
                <w:b/>
              </w:rPr>
              <w:t>«</w:t>
            </w:r>
            <w:r w:rsidRPr="00D166F5">
              <w:t xml:space="preserve"> </w:t>
            </w:r>
          </w:p>
        </w:tc>
        <w:tc>
          <w:tcPr>
            <w:tcW w:w="5690" w:type="dxa"/>
          </w:tcPr>
          <w:p w14:paraId="2CC494CD" w14:textId="77777777" w:rsidR="00A32C52" w:rsidRDefault="00FB2FB3" w:rsidP="00FC34B5">
            <w:hyperlink r:id="rId12" w:history="1">
              <w:r w:rsidR="00A32C52" w:rsidRPr="006A53F6">
                <w:rPr>
                  <w:rStyle w:val="Hiperpovezava"/>
                </w:rPr>
                <w:t>http://www.pisrs.si/Pis.web/pregledPredpisa?id=PRAV12213</w:t>
              </w:r>
            </w:hyperlink>
          </w:p>
          <w:p w14:paraId="0C8D3678" w14:textId="77777777" w:rsidR="00A32C52" w:rsidRDefault="00A32C52" w:rsidP="00FC34B5"/>
        </w:tc>
        <w:tc>
          <w:tcPr>
            <w:tcW w:w="7040" w:type="dxa"/>
          </w:tcPr>
          <w:p w14:paraId="206F63B3" w14:textId="77777777" w:rsidR="00A32C52" w:rsidRDefault="00A32C52" w:rsidP="00FC34B5">
            <w:r>
              <w:t xml:space="preserve">Vsebina (in tudi naslov) </w:t>
            </w:r>
            <w:r w:rsidRPr="00A1516C">
              <w:rPr>
                <w:b/>
              </w:rPr>
              <w:t>»Poročil o overitvi«</w:t>
            </w:r>
            <w:r>
              <w:t xml:space="preserve"> je opredeljena v: </w:t>
            </w:r>
            <w:hyperlink r:id="rId13" w:history="1">
              <w:r w:rsidRPr="006A53F6">
                <w:rPr>
                  <w:rStyle w:val="Hiperpovezava"/>
                </w:rPr>
                <w:t>http://www.pisrs.si/Pis.web/pregledPredpisa?id=PRAV12213</w:t>
              </w:r>
            </w:hyperlink>
          </w:p>
          <w:p w14:paraId="6C509627" w14:textId="77777777" w:rsidR="00A32C52" w:rsidRDefault="00CC4957" w:rsidP="00FC34B5">
            <w:r>
              <w:t>Vsebina je u</w:t>
            </w:r>
            <w:r w:rsidR="00A32C52">
              <w:t>sklajena med MIRS-om in SA.</w:t>
            </w:r>
          </w:p>
          <w:p w14:paraId="6A9D44FC" w14:textId="77777777" w:rsidR="00A32C52" w:rsidRDefault="00A32C52" w:rsidP="00FC34B5"/>
          <w:p w14:paraId="2E6C6A43" w14:textId="77777777" w:rsidR="00A32C52" w:rsidRDefault="00A32C52" w:rsidP="00FC34B5">
            <w:r>
              <w:t xml:space="preserve">Primerno je, da ocenjevalci </w:t>
            </w:r>
            <w:r w:rsidR="00B868E1">
              <w:t xml:space="preserve">SA </w:t>
            </w:r>
            <w:r>
              <w:t>poznajo vsebino omenjenega pravilnika.</w:t>
            </w:r>
          </w:p>
          <w:p w14:paraId="103569B4" w14:textId="77777777" w:rsidR="00A32C52" w:rsidRDefault="00A32C52" w:rsidP="00FC34B5"/>
        </w:tc>
      </w:tr>
      <w:tr w:rsidR="00A32C52" w14:paraId="2A238BC8" w14:textId="77777777" w:rsidTr="00BF4406">
        <w:trPr>
          <w:trHeight w:val="567"/>
          <w:jc w:val="center"/>
        </w:trPr>
        <w:tc>
          <w:tcPr>
            <w:tcW w:w="2972" w:type="dxa"/>
          </w:tcPr>
          <w:p w14:paraId="5D712DDA" w14:textId="77777777" w:rsidR="00A32C52" w:rsidRDefault="00A32C52" w:rsidP="00233A07">
            <w:r w:rsidRPr="00D166F5">
              <w:t xml:space="preserve">Kako </w:t>
            </w:r>
            <w:r>
              <w:t xml:space="preserve">se </w:t>
            </w:r>
            <w:r w:rsidRPr="00D166F5">
              <w:t>zagotavlj</w:t>
            </w:r>
            <w:r>
              <w:t>a</w:t>
            </w:r>
            <w:r w:rsidRPr="00D166F5">
              <w:t xml:space="preserve"> </w:t>
            </w:r>
            <w:r w:rsidRPr="00BC56D1">
              <w:rPr>
                <w:b/>
              </w:rPr>
              <w:t>loče</w:t>
            </w:r>
            <w:r w:rsidR="001D1DC4">
              <w:rPr>
                <w:b/>
              </w:rPr>
              <w:t>nost</w:t>
            </w:r>
            <w:r w:rsidRPr="00BC56D1">
              <w:rPr>
                <w:b/>
              </w:rPr>
              <w:t xml:space="preserve"> postopkov</w:t>
            </w:r>
            <w:r w:rsidRPr="00D166F5">
              <w:t xml:space="preserve"> oz. poročanja, kjer </w:t>
            </w:r>
            <w:r w:rsidR="001D1DC4">
              <w:t xml:space="preserve">KO </w:t>
            </w:r>
            <w:r w:rsidRPr="00D166F5">
              <w:t>izvaja samo kontrolo in tam</w:t>
            </w:r>
            <w:r>
              <w:t>,</w:t>
            </w:r>
            <w:r w:rsidRPr="00D166F5">
              <w:t xml:space="preserve"> kjer je kontrola del postopka overitve. </w:t>
            </w:r>
          </w:p>
          <w:p w14:paraId="59F8E407" w14:textId="77777777" w:rsidR="00A32C52" w:rsidRPr="00D166F5" w:rsidRDefault="00A32C52" w:rsidP="00233A07"/>
        </w:tc>
        <w:tc>
          <w:tcPr>
            <w:tcW w:w="5690" w:type="dxa"/>
          </w:tcPr>
          <w:p w14:paraId="3C50C699" w14:textId="77777777" w:rsidR="00CC4957" w:rsidRDefault="00A32C52" w:rsidP="00233A07">
            <w:r>
              <w:t xml:space="preserve">KO, ki izvajajo overitve, včasih izvedejo za stranko </w:t>
            </w:r>
            <w:r w:rsidR="00CC4957">
              <w:t>tudi le</w:t>
            </w:r>
            <w:r>
              <w:t xml:space="preserve"> kontrolo. </w:t>
            </w:r>
          </w:p>
          <w:p w14:paraId="01DF9E33" w14:textId="77777777" w:rsidR="00A32C52" w:rsidRDefault="00A32C52" w:rsidP="00233A07">
            <w:r>
              <w:t>Posledično je potrebno v takih primerih prilagoditi (vsaj) poročanje (ne gre za poročanje o overitvi, ampak o kontroli).«</w:t>
            </w:r>
          </w:p>
        </w:tc>
        <w:tc>
          <w:tcPr>
            <w:tcW w:w="7040" w:type="dxa"/>
          </w:tcPr>
          <w:p w14:paraId="7AC4A9FE" w14:textId="77777777" w:rsidR="00A32C52" w:rsidRDefault="00A32C52" w:rsidP="00233A07">
            <w:r>
              <w:t>Na ocenjevanjih posvetiti pozornost postopkom (posebej poročanj</w:t>
            </w:r>
            <w:r w:rsidR="00B868E1">
              <w:t>u</w:t>
            </w:r>
            <w:r>
              <w:t xml:space="preserve">), </w:t>
            </w:r>
            <w:r w:rsidR="00B868E1">
              <w:t xml:space="preserve">v primerih, </w:t>
            </w:r>
            <w:r>
              <w:t>ko se kontrola ne konča z overitvijo.</w:t>
            </w:r>
            <w:ins w:id="4" w:author="Matej Grum" w:date="2017-11-14T11:51:00Z">
              <w:r>
                <w:t xml:space="preserve"> </w:t>
              </w:r>
            </w:ins>
          </w:p>
          <w:p w14:paraId="65BA8091" w14:textId="77777777" w:rsidR="00CC4957" w:rsidRDefault="00CC4957" w:rsidP="00233A07"/>
          <w:p w14:paraId="3EE31EDB" w14:textId="77777777" w:rsidR="00A32C52" w:rsidRDefault="00A32C52" w:rsidP="00233A07">
            <w:r>
              <w:t>Poročila v tem primeru ne nosijo identifikacije IO/KO pri Uradu (ID MIRS), niti ne naslova »poročilo o overitvi«.</w:t>
            </w:r>
          </w:p>
        </w:tc>
      </w:tr>
      <w:tr w:rsidR="001D1DC4" w14:paraId="7DD9A48B" w14:textId="77777777" w:rsidTr="00BF4406">
        <w:trPr>
          <w:trHeight w:val="567"/>
          <w:jc w:val="center"/>
        </w:trPr>
        <w:tc>
          <w:tcPr>
            <w:tcW w:w="2972" w:type="dxa"/>
          </w:tcPr>
          <w:p w14:paraId="30B6316D" w14:textId="77777777" w:rsidR="001D1DC4" w:rsidRDefault="001D1DC4" w:rsidP="005E13F9">
            <w:r w:rsidRPr="00D166F5">
              <w:t xml:space="preserve">Kako </w:t>
            </w:r>
            <w:r>
              <w:t xml:space="preserve">naj </w:t>
            </w:r>
            <w:r w:rsidRPr="00D166F5">
              <w:t xml:space="preserve">se iz dokumentov kakovosti </w:t>
            </w:r>
            <w:r>
              <w:t>prepozna</w:t>
            </w:r>
            <w:r w:rsidRPr="00D166F5">
              <w:t xml:space="preserve">, da je </w:t>
            </w:r>
            <w:r w:rsidRPr="00BC56D1">
              <w:rPr>
                <w:b/>
              </w:rPr>
              <w:t>končni namen kontrole overitev</w:t>
            </w:r>
            <w:r w:rsidRPr="00D166F5">
              <w:t xml:space="preserve">? </w:t>
            </w:r>
          </w:p>
          <w:p w14:paraId="5892FE29" w14:textId="77777777" w:rsidR="001D1DC4" w:rsidRDefault="001D1DC4" w:rsidP="005E13F9"/>
        </w:tc>
        <w:tc>
          <w:tcPr>
            <w:tcW w:w="5690" w:type="dxa"/>
          </w:tcPr>
          <w:p w14:paraId="1A2D4363" w14:textId="77777777" w:rsidR="001D1DC4" w:rsidRDefault="001D1DC4" w:rsidP="005E13F9">
            <w:r>
              <w:t>MIRS pričakuje, da se tudi postopek overjanje ustrezno obravnava v sistemski dokumentaciji.</w:t>
            </w:r>
          </w:p>
          <w:p w14:paraId="557EF44C" w14:textId="77777777" w:rsidR="001D1DC4" w:rsidRDefault="001D1DC4" w:rsidP="00B868E1"/>
        </w:tc>
        <w:tc>
          <w:tcPr>
            <w:tcW w:w="7040" w:type="dxa"/>
          </w:tcPr>
          <w:p w14:paraId="026EDE75" w14:textId="77777777" w:rsidR="001D1DC4" w:rsidRPr="00BD462F" w:rsidRDefault="001D1DC4" w:rsidP="005E13F9">
            <w:pPr>
              <w:rPr>
                <w:b/>
              </w:rPr>
            </w:pPr>
            <w:r>
              <w:t xml:space="preserve">Pri ocenjevanjih SA naj se obravnava postopek overjanja </w:t>
            </w:r>
            <w:r w:rsidRPr="00BD462F">
              <w:rPr>
                <w:b/>
              </w:rPr>
              <w:t>do vključno izdaje Poročila o overitvi.</w:t>
            </w:r>
          </w:p>
          <w:p w14:paraId="7258CF9F" w14:textId="77777777" w:rsidR="001D1DC4" w:rsidRDefault="001D1DC4" w:rsidP="005E13F9"/>
          <w:p w14:paraId="5421EB8B" w14:textId="77777777" w:rsidR="001D1DC4" w:rsidRDefault="001D1DC4" w:rsidP="005E13F9">
            <w:r>
              <w:t>Za preverjanje ostalih aktivnosti: označevanje predmeta kontrole, poročanje Uradu…, poskrbi Urad.</w:t>
            </w:r>
          </w:p>
          <w:p w14:paraId="345609BD" w14:textId="77777777" w:rsidR="001D1DC4" w:rsidRDefault="001D1DC4" w:rsidP="005E13F9"/>
          <w:p w14:paraId="63C0741F" w14:textId="77777777" w:rsidR="001D1DC4" w:rsidRDefault="001D1DC4" w:rsidP="005E13F9">
            <w:r>
              <w:t>Če se na Poročilih o kontroli navede npr. uporabljeno št. overitvenih oznak, to smatramo kot info., ki se jo sme navesti na Poročilu o overjanju.</w:t>
            </w:r>
          </w:p>
          <w:p w14:paraId="6933A8A5" w14:textId="77777777" w:rsidR="001D1DC4" w:rsidRDefault="001D1DC4" w:rsidP="005E13F9"/>
        </w:tc>
      </w:tr>
      <w:tr w:rsidR="001634D0" w14:paraId="0240AFC6" w14:textId="77777777" w:rsidTr="00BF4406">
        <w:trPr>
          <w:trHeight w:val="567"/>
          <w:jc w:val="center"/>
        </w:trPr>
        <w:tc>
          <w:tcPr>
            <w:tcW w:w="2972" w:type="dxa"/>
          </w:tcPr>
          <w:p w14:paraId="218A6A33" w14:textId="77777777" w:rsidR="001634D0" w:rsidRDefault="001634D0" w:rsidP="001634D0">
            <w:r>
              <w:rPr>
                <w:b/>
              </w:rPr>
              <w:t>Prve overitve in</w:t>
            </w:r>
            <w:r w:rsidRPr="00BC2EF6">
              <w:rPr>
                <w:b/>
              </w:rPr>
              <w:t xml:space="preserve"> zahteve iz Pravilnika o načinih ugotavljanju skladnost</w:t>
            </w:r>
            <w:r w:rsidRPr="00D166F5">
              <w:t xml:space="preserve">i: soglasja imetnikov certifikatov o odobritvi tipa in druga zahtevana dokumentacijo pred začetkom postopka </w:t>
            </w:r>
          </w:p>
          <w:p w14:paraId="5618EA30" w14:textId="37339E0B" w:rsidR="00BF4406" w:rsidRPr="00D166F5" w:rsidRDefault="00BF4406" w:rsidP="001634D0"/>
        </w:tc>
        <w:tc>
          <w:tcPr>
            <w:tcW w:w="5690" w:type="dxa"/>
          </w:tcPr>
          <w:p w14:paraId="14DD0E1B" w14:textId="77777777" w:rsidR="001634D0" w:rsidRDefault="00FB2FB3" w:rsidP="001634D0">
            <w:hyperlink r:id="rId14" w:history="1">
              <w:r w:rsidR="001634D0" w:rsidRPr="006A53F6">
                <w:rPr>
                  <w:rStyle w:val="Hiperpovezava"/>
                </w:rPr>
                <w:t>http://www.pisrs.si/Pis.web/pregledPredpisa?id=ODRE148</w:t>
              </w:r>
            </w:hyperlink>
          </w:p>
        </w:tc>
        <w:tc>
          <w:tcPr>
            <w:tcW w:w="7040" w:type="dxa"/>
          </w:tcPr>
          <w:p w14:paraId="7F72CD0A" w14:textId="77777777" w:rsidR="001634D0" w:rsidRDefault="001634D0" w:rsidP="001634D0">
            <w:r w:rsidRPr="00D66953">
              <w:t>Prvo overitev se lahko</w:t>
            </w:r>
            <w:r>
              <w:t xml:space="preserve"> izvede le na podlagi vloge p</w:t>
            </w:r>
            <w:r w:rsidRPr="009D5220">
              <w:t>roizvajalc</w:t>
            </w:r>
            <w:r>
              <w:t>a</w:t>
            </w:r>
            <w:r w:rsidRPr="009D5220">
              <w:t xml:space="preserve"> merila ali njegov</w:t>
            </w:r>
            <w:r>
              <w:t>ega pooblaščenega</w:t>
            </w:r>
            <w:r w:rsidRPr="009D5220">
              <w:t xml:space="preserve"> zastopnik</w:t>
            </w:r>
            <w:r>
              <w:t>a.</w:t>
            </w:r>
          </w:p>
          <w:p w14:paraId="7230F16A" w14:textId="77777777" w:rsidR="001634D0" w:rsidRDefault="001634D0" w:rsidP="001634D0">
            <w:r>
              <w:t>(25. člen Pravilnika).</w:t>
            </w:r>
          </w:p>
          <w:p w14:paraId="5AAA6837" w14:textId="77777777" w:rsidR="001634D0" w:rsidRDefault="001634D0" w:rsidP="001634D0"/>
          <w:p w14:paraId="566CF7CC" w14:textId="77777777" w:rsidR="001634D0" w:rsidRDefault="001634D0" w:rsidP="001634D0">
            <w:r>
              <w:t xml:space="preserve">(področja: </w:t>
            </w:r>
            <w:r w:rsidR="00241F14">
              <w:t xml:space="preserve">npr. </w:t>
            </w:r>
            <w:r>
              <w:t xml:space="preserve">merila na tehničnih pregledih -  zavorni valji, izpušni plini za </w:t>
            </w:r>
            <w:proofErr w:type="spellStart"/>
            <w:r>
              <w:t>diesel</w:t>
            </w:r>
            <w:proofErr w:type="spellEnd"/>
            <w:r>
              <w:t>)</w:t>
            </w:r>
          </w:p>
          <w:p w14:paraId="2D6B2394" w14:textId="77777777" w:rsidR="001634D0" w:rsidRDefault="001634D0" w:rsidP="001634D0"/>
        </w:tc>
      </w:tr>
      <w:tr w:rsidR="001634D0" w14:paraId="271703FB" w14:textId="77777777" w:rsidTr="00BF4406">
        <w:trPr>
          <w:trHeight w:val="567"/>
          <w:jc w:val="center"/>
        </w:trPr>
        <w:tc>
          <w:tcPr>
            <w:tcW w:w="2972" w:type="dxa"/>
          </w:tcPr>
          <w:p w14:paraId="06A3EB97" w14:textId="77777777" w:rsidR="001634D0" w:rsidRPr="00D166F5" w:rsidRDefault="001634D0" w:rsidP="001634D0">
            <w:r w:rsidRPr="00D166F5">
              <w:t xml:space="preserve">Zagotavljanje </w:t>
            </w:r>
            <w:r w:rsidRPr="00BC2EF6">
              <w:rPr>
                <w:b/>
              </w:rPr>
              <w:t>sledljivost</w:t>
            </w:r>
            <w:r>
              <w:rPr>
                <w:b/>
              </w:rPr>
              <w:t>i</w:t>
            </w:r>
            <w:r w:rsidRPr="00BC2EF6">
              <w:rPr>
                <w:b/>
              </w:rPr>
              <w:t xml:space="preserve"> merilne opreme in interne kalibracije.</w:t>
            </w:r>
            <w:r w:rsidRPr="00D166F5">
              <w:t xml:space="preserve"> </w:t>
            </w:r>
          </w:p>
        </w:tc>
        <w:tc>
          <w:tcPr>
            <w:tcW w:w="5690" w:type="dxa"/>
          </w:tcPr>
          <w:p w14:paraId="5991BD39" w14:textId="77777777" w:rsidR="00B868E1" w:rsidRDefault="00B868E1" w:rsidP="001634D0">
            <w:r>
              <w:t xml:space="preserve">SA, OA 02 </w:t>
            </w:r>
            <w:r w:rsidRPr="00B868E1">
              <w:t>SPREJEMLJIVA MERILNA</w:t>
            </w:r>
            <w:r>
              <w:t xml:space="preserve"> </w:t>
            </w:r>
            <w:r w:rsidRPr="00B868E1">
              <w:t>SLEDLJIVOST</w:t>
            </w:r>
          </w:p>
          <w:p w14:paraId="47151B79" w14:textId="77777777" w:rsidR="001634D0" w:rsidRDefault="00FB2FB3" w:rsidP="001634D0">
            <w:hyperlink r:id="rId15" w:history="1">
              <w:r w:rsidR="00B868E1" w:rsidRPr="006417D7">
                <w:rPr>
                  <w:rStyle w:val="Hiperpovezava"/>
                </w:rPr>
                <w:t>http://www.slo-akreditacija.si/wp-content/uploads/2016/06/OA02-izd5-slo.pdf</w:t>
              </w:r>
            </w:hyperlink>
          </w:p>
          <w:p w14:paraId="0FCBD178" w14:textId="77777777" w:rsidR="00B868E1" w:rsidRDefault="00B868E1" w:rsidP="001634D0"/>
          <w:p w14:paraId="192F9A46" w14:textId="77777777" w:rsidR="00B868E1" w:rsidRDefault="00B868E1" w:rsidP="001634D0">
            <w:r>
              <w:t>SA, OA 12 OBVLADOVANJE OPREME</w:t>
            </w:r>
          </w:p>
          <w:p w14:paraId="523E3350" w14:textId="77777777" w:rsidR="00B868E1" w:rsidRDefault="00FB2FB3" w:rsidP="001634D0">
            <w:hyperlink r:id="rId16" w:history="1">
              <w:r w:rsidR="00B868E1" w:rsidRPr="006417D7">
                <w:rPr>
                  <w:rStyle w:val="Hiperpovezava"/>
                </w:rPr>
                <w:t>http://www.slo-akreditacija.si/wp-content/uploads/2016/06/OA12-izd1-slo.pdf</w:t>
              </w:r>
            </w:hyperlink>
          </w:p>
          <w:p w14:paraId="01B263EB" w14:textId="77777777" w:rsidR="001634D0" w:rsidRDefault="001634D0" w:rsidP="001634D0"/>
        </w:tc>
        <w:tc>
          <w:tcPr>
            <w:tcW w:w="7040" w:type="dxa"/>
          </w:tcPr>
          <w:p w14:paraId="33AFE273" w14:textId="77777777" w:rsidR="001634D0" w:rsidRDefault="00D33EA3" w:rsidP="001634D0">
            <w:r>
              <w:t xml:space="preserve">Ocenjevalci naj bodo vedno pozorni na </w:t>
            </w:r>
            <w:r w:rsidRPr="00A1516C">
              <w:rPr>
                <w:b/>
              </w:rPr>
              <w:t>morebitno izvajanje internih kalibracij</w:t>
            </w:r>
            <w:r>
              <w:t xml:space="preserve">, ki </w:t>
            </w:r>
            <w:r w:rsidR="001634D0" w:rsidRPr="001634D0">
              <w:t xml:space="preserve">so </w:t>
            </w:r>
            <w:r>
              <w:t xml:space="preserve">sicer </w:t>
            </w:r>
            <w:r w:rsidR="001634D0" w:rsidRPr="001634D0">
              <w:t xml:space="preserve">dovoljen način za zagotavljanje </w:t>
            </w:r>
            <w:r w:rsidR="00241F14">
              <w:t xml:space="preserve">meroslovne </w:t>
            </w:r>
            <w:r w:rsidR="001634D0" w:rsidRPr="001634D0">
              <w:t>sledljivosti</w:t>
            </w:r>
            <w:r w:rsidR="00AB3AAC">
              <w:t xml:space="preserve"> (ILAC P10</w:t>
            </w:r>
            <w:r w:rsidR="00B868E1">
              <w:t xml:space="preserve">: </w:t>
            </w:r>
            <w:hyperlink r:id="rId17" w:history="1">
              <w:r w:rsidR="00B868E1" w:rsidRPr="006417D7">
                <w:rPr>
                  <w:rStyle w:val="Hiperpovezava"/>
                </w:rPr>
                <w:t>https://ilac.org/publications-and-resources/ilac-policy-series/</w:t>
              </w:r>
            </w:hyperlink>
            <w:r w:rsidR="00B868E1">
              <w:t xml:space="preserve"> )</w:t>
            </w:r>
          </w:p>
          <w:p w14:paraId="04EC20A8" w14:textId="77777777" w:rsidR="000F01D1" w:rsidRDefault="000F01D1" w:rsidP="000F01D1"/>
          <w:p w14:paraId="2BB90AE9" w14:textId="216F1457" w:rsidR="000F01D1" w:rsidRDefault="000F01D1" w:rsidP="000F01D1">
            <w:r>
              <w:t xml:space="preserve">Med ocenjevanjem se preveri izpolnjevanje zahtev 17025 vsaj v povezavi s primernostjo postopka kalibracije, zagotavljanjem sledljivosti etalona, izračunom U, vsebino kal. certifikata, usposobljenostjo osebja za izvajanje </w:t>
            </w:r>
            <w:proofErr w:type="spellStart"/>
            <w:r>
              <w:t>int</w:t>
            </w:r>
            <w:proofErr w:type="spellEnd"/>
            <w:r>
              <w:t>. kal.</w:t>
            </w:r>
          </w:p>
          <w:p w14:paraId="7D8F1278" w14:textId="77777777" w:rsidR="00AB3AAC" w:rsidRDefault="00AB3AAC" w:rsidP="001634D0"/>
          <w:p w14:paraId="74C47B61" w14:textId="04528F67" w:rsidR="00241F14" w:rsidRDefault="000F01D1" w:rsidP="001634D0">
            <w:r>
              <w:t xml:space="preserve">Nekaj </w:t>
            </w:r>
            <w:r w:rsidR="00AB3AAC">
              <w:t>primer</w:t>
            </w:r>
            <w:r>
              <w:t>ov</w:t>
            </w:r>
            <w:r w:rsidR="00AB3AAC">
              <w:t xml:space="preserve"> uporabe internih kal. pri </w:t>
            </w:r>
            <w:r>
              <w:t>KO/</w:t>
            </w:r>
            <w:r w:rsidR="00AB3AAC">
              <w:t>IO-jih:</w:t>
            </w:r>
          </w:p>
          <w:p w14:paraId="30BE26C2" w14:textId="77777777" w:rsidR="00BD462F" w:rsidRDefault="00BD462F" w:rsidP="001634D0"/>
          <w:p w14:paraId="39FB9F12" w14:textId="43C6A5A6" w:rsidR="00AB3AAC" w:rsidRPr="001634D0" w:rsidRDefault="00AB3AAC" w:rsidP="001634D0">
            <w:pPr>
              <w:pStyle w:val="Odstavekseznama"/>
              <w:numPr>
                <w:ilvl w:val="0"/>
                <w:numId w:val="4"/>
              </w:numPr>
              <w:ind w:left="360"/>
            </w:pPr>
            <w:r>
              <w:t xml:space="preserve">kontrolni organ, ki je akreditiran za kontrolo opreme pod tlakom in merilnikov tlaka v pnevmatikah, </w:t>
            </w:r>
            <w:r w:rsidR="00B76B92">
              <w:t>izvaja interne kalibracije</w:t>
            </w:r>
            <w:r w:rsidR="001634D0" w:rsidRPr="001634D0">
              <w:t xml:space="preserve"> </w:t>
            </w:r>
            <w:r w:rsidR="00B76B92">
              <w:t>merilnikov</w:t>
            </w:r>
            <w:r w:rsidR="00241F14">
              <w:t xml:space="preserve"> </w:t>
            </w:r>
            <w:r w:rsidR="001634D0" w:rsidRPr="001634D0">
              <w:t>tlak</w:t>
            </w:r>
            <w:r w:rsidR="00B76B92">
              <w:t xml:space="preserve">a v večjem obsegu. </w:t>
            </w:r>
          </w:p>
          <w:p w14:paraId="4331B282" w14:textId="0A178888" w:rsidR="000F01D1" w:rsidRDefault="00B76B92" w:rsidP="007935DF">
            <w:pPr>
              <w:pStyle w:val="Odstavekseznama"/>
              <w:numPr>
                <w:ilvl w:val="0"/>
                <w:numId w:val="4"/>
              </w:numPr>
              <w:ind w:left="360"/>
            </w:pPr>
            <w:r>
              <w:t>nezahtevne kalibracije merilnikov temperature</w:t>
            </w:r>
            <w:r w:rsidR="00AB3AAC">
              <w:t xml:space="preserve"> izvaja kontrolni organ s področja </w:t>
            </w:r>
            <w:r w:rsidR="00600196">
              <w:t xml:space="preserve">kontrole </w:t>
            </w:r>
            <w:r w:rsidR="00AB3AAC">
              <w:t>meril mase</w:t>
            </w:r>
          </w:p>
          <w:p w14:paraId="31E87485" w14:textId="68E65355" w:rsidR="000F01D1" w:rsidRDefault="000F01D1" w:rsidP="00BD462F">
            <w:pPr>
              <w:pStyle w:val="Odstavekseznama"/>
              <w:numPr>
                <w:ilvl w:val="0"/>
                <w:numId w:val="4"/>
              </w:numPr>
              <w:ind w:left="360"/>
            </w:pPr>
            <w:r>
              <w:t xml:space="preserve">kontrolni organ kontrolira/overja števce toplotne energije. Temperaturna in uporovna zaznavala kalibrira interno. </w:t>
            </w:r>
          </w:p>
          <w:p w14:paraId="2C3C79BD" w14:textId="77777777" w:rsidR="00BD462F" w:rsidRPr="001634D0" w:rsidRDefault="00BD462F" w:rsidP="00AB3AAC">
            <w:pPr>
              <w:pStyle w:val="Odstavekseznama"/>
              <w:ind w:left="0"/>
            </w:pPr>
          </w:p>
        </w:tc>
      </w:tr>
      <w:tr w:rsidR="001634D0" w14:paraId="2E612995" w14:textId="77777777" w:rsidTr="00BF4406">
        <w:trPr>
          <w:trHeight w:val="567"/>
          <w:jc w:val="center"/>
        </w:trPr>
        <w:tc>
          <w:tcPr>
            <w:tcW w:w="2972" w:type="dxa"/>
          </w:tcPr>
          <w:p w14:paraId="39007021" w14:textId="77777777" w:rsidR="001634D0" w:rsidRPr="00D166F5" w:rsidRDefault="001634D0" w:rsidP="001634D0">
            <w:r>
              <w:t xml:space="preserve">Ovrednotenje </w:t>
            </w:r>
            <w:r w:rsidRPr="00BC2EF6">
              <w:rPr>
                <w:b/>
              </w:rPr>
              <w:t>merilne negotovosti</w:t>
            </w:r>
            <w:r w:rsidRPr="00D166F5">
              <w:t xml:space="preserve">. </w:t>
            </w:r>
          </w:p>
        </w:tc>
        <w:tc>
          <w:tcPr>
            <w:tcW w:w="5690" w:type="dxa"/>
          </w:tcPr>
          <w:p w14:paraId="60DA6173" w14:textId="77777777" w:rsidR="001634D0" w:rsidRDefault="001634D0" w:rsidP="001634D0">
            <w:r>
              <w:t xml:space="preserve">V meroslovnih predpisih je naveden pogoj: </w:t>
            </w:r>
          </w:p>
          <w:p w14:paraId="34D97336" w14:textId="77777777" w:rsidR="001634D0" w:rsidRDefault="001634D0" w:rsidP="001634D0">
            <w:r w:rsidRPr="00184E4D">
              <w:t xml:space="preserve">negotovost </w:t>
            </w:r>
            <w:r w:rsidR="00184E4D" w:rsidRPr="00154A58">
              <w:t xml:space="preserve">preskusnega </w:t>
            </w:r>
            <w:r w:rsidRPr="00154A58">
              <w:t>merilnega sistema &lt;=</w:t>
            </w:r>
            <w:r>
              <w:t xml:space="preserve"> 1/3 NDP</w:t>
            </w:r>
          </w:p>
          <w:p w14:paraId="1525B0D1" w14:textId="77777777" w:rsidR="001634D0" w:rsidRDefault="00154A58" w:rsidP="001634D0">
            <w:r>
              <w:t>Izjema so uteži</w:t>
            </w:r>
            <w:r w:rsidR="00A32C52">
              <w:t>.</w:t>
            </w:r>
          </w:p>
        </w:tc>
        <w:tc>
          <w:tcPr>
            <w:tcW w:w="7040" w:type="dxa"/>
          </w:tcPr>
          <w:p w14:paraId="61FCFF5E" w14:textId="77777777" w:rsidR="001634D0" w:rsidRDefault="001634D0" w:rsidP="001634D0">
            <w:r>
              <w:t xml:space="preserve">Ocenjevalci naj pri ocenjevanju </w:t>
            </w:r>
            <w:r w:rsidRPr="00A32C52">
              <w:rPr>
                <w:b/>
              </w:rPr>
              <w:t xml:space="preserve">vedno preverijo izpolnjevanje pogoja: negotovost </w:t>
            </w:r>
            <w:r w:rsidR="00184E4D" w:rsidRPr="00A32C52">
              <w:rPr>
                <w:b/>
              </w:rPr>
              <w:t xml:space="preserve">preskusnega </w:t>
            </w:r>
            <w:r w:rsidRPr="00A32C52">
              <w:rPr>
                <w:b/>
              </w:rPr>
              <w:t>merilnega sistema &lt;= 1/3 NDP</w:t>
            </w:r>
            <w:r>
              <w:t>.</w:t>
            </w:r>
          </w:p>
          <w:p w14:paraId="41DD90E4" w14:textId="77777777" w:rsidR="001634D0" w:rsidRDefault="001634D0" w:rsidP="001634D0">
            <w:r>
              <w:t xml:space="preserve">To naj bo razvidno tudi iz </w:t>
            </w:r>
            <w:r w:rsidR="00B76B92">
              <w:t xml:space="preserve">ocenjevalčevih </w:t>
            </w:r>
            <w:r>
              <w:t xml:space="preserve">zapisov </w:t>
            </w:r>
            <w:r w:rsidR="00A32C52">
              <w:t xml:space="preserve">v </w:t>
            </w:r>
            <w:r>
              <w:t>kontroln</w:t>
            </w:r>
            <w:r w:rsidR="00A32C52">
              <w:t>i</w:t>
            </w:r>
            <w:r>
              <w:t xml:space="preserve"> list</w:t>
            </w:r>
            <w:r w:rsidR="00A32C52">
              <w:t>i</w:t>
            </w:r>
            <w:r>
              <w:t>.</w:t>
            </w:r>
          </w:p>
          <w:p w14:paraId="6C0C4933" w14:textId="77777777" w:rsidR="00AB3AAC" w:rsidRDefault="00AB3AAC" w:rsidP="001634D0"/>
        </w:tc>
      </w:tr>
      <w:tr w:rsidR="001634D0" w14:paraId="75E33CAE" w14:textId="77777777" w:rsidTr="00BF4406">
        <w:trPr>
          <w:trHeight w:val="567"/>
          <w:jc w:val="center"/>
        </w:trPr>
        <w:tc>
          <w:tcPr>
            <w:tcW w:w="2972" w:type="dxa"/>
          </w:tcPr>
          <w:p w14:paraId="6084FCF0" w14:textId="77777777" w:rsidR="001634D0" w:rsidRDefault="001634D0" w:rsidP="001634D0">
            <w:r w:rsidRPr="00D166F5">
              <w:t xml:space="preserve">Obravnavanje </w:t>
            </w:r>
            <w:r w:rsidR="00FD130D">
              <w:rPr>
                <w:b/>
              </w:rPr>
              <w:t xml:space="preserve">informacij </w:t>
            </w:r>
            <w:r w:rsidRPr="00BC56D1">
              <w:rPr>
                <w:b/>
              </w:rPr>
              <w:t>odjemalcev</w:t>
            </w:r>
            <w:r w:rsidRPr="00D166F5">
              <w:t xml:space="preserve"> = neskladnosti, ki jih pri IO/KO ugotovi </w:t>
            </w:r>
            <w:r w:rsidR="00BD462F">
              <w:t>MIRS</w:t>
            </w:r>
            <w:r w:rsidRPr="00D166F5">
              <w:t xml:space="preserve">. </w:t>
            </w:r>
          </w:p>
          <w:p w14:paraId="68E86BC9" w14:textId="77777777" w:rsidR="001634D0" w:rsidRPr="00D166F5" w:rsidRDefault="001634D0" w:rsidP="001634D0"/>
        </w:tc>
        <w:tc>
          <w:tcPr>
            <w:tcW w:w="5690" w:type="dxa"/>
          </w:tcPr>
          <w:p w14:paraId="377BEDBD" w14:textId="4E332A2C" w:rsidR="00DF3D83" w:rsidRDefault="00154A58" w:rsidP="00600196">
            <w:r>
              <w:t>MIRS</w:t>
            </w:r>
            <w:r w:rsidR="001634D0">
              <w:t xml:space="preserve"> pri svojih nadzorih svoje ugotovitve dokumentira, pričakuje</w:t>
            </w:r>
            <w:r w:rsidR="00B876B2">
              <w:t>, da IO (sistemsko</w:t>
            </w:r>
            <w:r w:rsidR="009A0F7F">
              <w:t>)</w:t>
            </w:r>
            <w:r w:rsidR="00B876B2">
              <w:t xml:space="preserve"> korektivno ukrepa.</w:t>
            </w:r>
          </w:p>
        </w:tc>
        <w:tc>
          <w:tcPr>
            <w:tcW w:w="7040" w:type="dxa"/>
          </w:tcPr>
          <w:p w14:paraId="285C3ED5" w14:textId="77777777" w:rsidR="001634D0" w:rsidRDefault="00D33EA3" w:rsidP="001634D0">
            <w:r>
              <w:t>Tudi za ugotovitve MIRS-</w:t>
            </w:r>
            <w:proofErr w:type="spellStart"/>
            <w:r w:rsidR="00BD462F">
              <w:t>ovih</w:t>
            </w:r>
            <w:proofErr w:type="spellEnd"/>
            <w:r w:rsidR="00BD462F">
              <w:t xml:space="preserve"> nadzorov</w:t>
            </w:r>
            <w:r>
              <w:t xml:space="preserve"> p</w:t>
            </w:r>
            <w:r w:rsidR="001634D0">
              <w:t xml:space="preserve">ričakujemo </w:t>
            </w:r>
            <w:r>
              <w:t xml:space="preserve">sistemsko </w:t>
            </w:r>
            <w:r w:rsidR="00B76B92">
              <w:t>(preventivno, kor</w:t>
            </w:r>
            <w:r>
              <w:t>ektivno…) ukrepanje.</w:t>
            </w:r>
          </w:p>
        </w:tc>
      </w:tr>
      <w:tr w:rsidR="001634D0" w14:paraId="51862DDD" w14:textId="77777777" w:rsidTr="00BF4406">
        <w:trPr>
          <w:trHeight w:val="567"/>
          <w:jc w:val="center"/>
        </w:trPr>
        <w:tc>
          <w:tcPr>
            <w:tcW w:w="2972" w:type="dxa"/>
          </w:tcPr>
          <w:p w14:paraId="299BCE1B" w14:textId="77777777" w:rsidR="001634D0" w:rsidRPr="00D166F5" w:rsidRDefault="001634D0" w:rsidP="001634D0">
            <w:r>
              <w:rPr>
                <w:rFonts w:eastAsia="Times New Roman"/>
                <w:b/>
              </w:rPr>
              <w:t xml:space="preserve">Zagotavljanje kakovosti rezultatov </w:t>
            </w:r>
          </w:p>
        </w:tc>
        <w:tc>
          <w:tcPr>
            <w:tcW w:w="5690" w:type="dxa"/>
          </w:tcPr>
          <w:p w14:paraId="593EB50D" w14:textId="77777777" w:rsidR="00AB3AAC" w:rsidRDefault="00AB3AAC" w:rsidP="001634D0">
            <w:r>
              <w:t>- medsebojne primerjave, ki jih organizira MIRS (moduli)</w:t>
            </w:r>
          </w:p>
          <w:p w14:paraId="55B4AC5B" w14:textId="77777777" w:rsidR="001634D0" w:rsidRDefault="00AB3AAC" w:rsidP="001634D0">
            <w:r>
              <w:t xml:space="preserve">- </w:t>
            </w:r>
            <w:r w:rsidR="001634D0">
              <w:t xml:space="preserve">promocija drugih načinov </w:t>
            </w:r>
          </w:p>
        </w:tc>
        <w:tc>
          <w:tcPr>
            <w:tcW w:w="7040" w:type="dxa"/>
          </w:tcPr>
          <w:p w14:paraId="0F4509D6" w14:textId="77777777" w:rsidR="001634D0" w:rsidRDefault="001634D0" w:rsidP="001634D0">
            <w:r>
              <w:t xml:space="preserve">Ocenjevalci </w:t>
            </w:r>
            <w:r w:rsidR="00600196">
              <w:t xml:space="preserve">naj </w:t>
            </w:r>
            <w:r>
              <w:t xml:space="preserve">vedno preverijo </w:t>
            </w:r>
            <w:r w:rsidRPr="00BD462F">
              <w:rPr>
                <w:b/>
              </w:rPr>
              <w:t xml:space="preserve">morebitno sodelovanje </w:t>
            </w:r>
            <w:r w:rsidR="00AB3AAC" w:rsidRPr="00BD462F">
              <w:rPr>
                <w:b/>
              </w:rPr>
              <w:t>I</w:t>
            </w:r>
            <w:r w:rsidRPr="00BD462F">
              <w:rPr>
                <w:b/>
              </w:rPr>
              <w:t>O-jev v medsebojnih primerjavah, ki jih organizira Urad</w:t>
            </w:r>
            <w:r w:rsidR="00BD462F">
              <w:t xml:space="preserve"> (NAWI, korektorji, merilniki krvnega tlaka</w:t>
            </w:r>
            <w:r w:rsidR="001D1DC4">
              <w:t>…</w:t>
            </w:r>
            <w:r w:rsidR="00BD462F">
              <w:t>)</w:t>
            </w:r>
            <w:r>
              <w:t>.</w:t>
            </w:r>
            <w:r w:rsidR="001D1DC4">
              <w:t xml:space="preserve"> Oceni</w:t>
            </w:r>
            <w:r w:rsidR="00600196">
              <w:t xml:space="preserve"> se</w:t>
            </w:r>
            <w:r w:rsidR="001D1DC4">
              <w:t xml:space="preserve"> uspešnost sodelovanja in izvedena ukrepe akreditiranega organa.</w:t>
            </w:r>
          </w:p>
          <w:p w14:paraId="669703FF" w14:textId="77777777" w:rsidR="00600196" w:rsidRDefault="00600196" w:rsidP="001634D0"/>
          <w:p w14:paraId="4A8142C0" w14:textId="77777777" w:rsidR="003F6652" w:rsidRDefault="001634D0" w:rsidP="001634D0">
            <w:pPr>
              <w:rPr>
                <w:noProof/>
              </w:rPr>
            </w:pPr>
            <w:r>
              <w:t xml:space="preserve">Ocenjevalci </w:t>
            </w:r>
            <w:r w:rsidR="00600196">
              <w:t xml:space="preserve">naj </w:t>
            </w:r>
            <w:r>
              <w:t xml:space="preserve">spodbujajo aktivnosti v povezavi z zagotavljanjem </w:t>
            </w:r>
            <w:r w:rsidR="00AB3AAC">
              <w:t xml:space="preserve">veljavnosti </w:t>
            </w:r>
            <w:r>
              <w:t>rezultatov pri KO-jih.</w:t>
            </w:r>
            <w:r w:rsidR="003F6652">
              <w:rPr>
                <w:noProof/>
              </w:rPr>
              <w:t xml:space="preserve"> </w:t>
            </w:r>
            <w:r w:rsidR="00AB3AAC">
              <w:rPr>
                <w:noProof/>
              </w:rPr>
              <w:t xml:space="preserve">ISO </w:t>
            </w:r>
            <w:r w:rsidR="003F6652">
              <w:rPr>
                <w:noProof/>
              </w:rPr>
              <w:t>17025</w:t>
            </w:r>
            <w:r w:rsidR="00AB3AAC">
              <w:rPr>
                <w:noProof/>
              </w:rPr>
              <w:t>:2017</w:t>
            </w:r>
            <w:r w:rsidR="003F6652">
              <w:rPr>
                <w:noProof/>
              </w:rPr>
              <w:t>, točka 7.7 omogoča širok nabor možnosti</w:t>
            </w:r>
            <w:r w:rsidR="001D1DC4">
              <w:rPr>
                <w:noProof/>
              </w:rPr>
              <w:t>.</w:t>
            </w:r>
          </w:p>
          <w:p w14:paraId="5BEA95EB" w14:textId="77777777" w:rsidR="00CD0E02" w:rsidRDefault="00CD0E02" w:rsidP="001634D0"/>
        </w:tc>
      </w:tr>
      <w:tr w:rsidR="001634D0" w14:paraId="27C2D298" w14:textId="77777777" w:rsidTr="00BF4406">
        <w:trPr>
          <w:trHeight w:val="567"/>
          <w:jc w:val="center"/>
        </w:trPr>
        <w:tc>
          <w:tcPr>
            <w:tcW w:w="2972" w:type="dxa"/>
          </w:tcPr>
          <w:p w14:paraId="239A5ACB" w14:textId="77777777" w:rsidR="001634D0" w:rsidRDefault="001634D0" w:rsidP="001634D0">
            <w:r w:rsidRPr="000C4BF3">
              <w:rPr>
                <w:b/>
              </w:rPr>
              <w:t>Obsegi kontrolnih organov</w:t>
            </w:r>
          </w:p>
        </w:tc>
        <w:tc>
          <w:tcPr>
            <w:tcW w:w="5690" w:type="dxa"/>
          </w:tcPr>
          <w:p w14:paraId="7399D99C" w14:textId="77777777" w:rsidR="001634D0" w:rsidRDefault="00FB2FB3" w:rsidP="001634D0">
            <w:hyperlink r:id="rId18" w:history="1">
              <w:r w:rsidR="001634D0" w:rsidRPr="006A53F6">
                <w:rPr>
                  <w:rStyle w:val="Hiperpovezava"/>
                </w:rPr>
                <w:t>http://www.slo-akreditacija.si/ocenjevalci/podrocja-ocenjevanja/kontrola/</w:t>
              </w:r>
            </w:hyperlink>
          </w:p>
        </w:tc>
        <w:tc>
          <w:tcPr>
            <w:tcW w:w="7040" w:type="dxa"/>
          </w:tcPr>
          <w:p w14:paraId="703E3AE4" w14:textId="77777777" w:rsidR="001634D0" w:rsidRDefault="00AB3AAC" w:rsidP="001634D0">
            <w:r>
              <w:t xml:space="preserve">Predloga za določitev </w:t>
            </w:r>
            <w:r w:rsidR="001634D0">
              <w:t xml:space="preserve">obsegov </w:t>
            </w:r>
            <w:r>
              <w:t>kontrolnih organov</w:t>
            </w:r>
            <w:r w:rsidR="001634D0">
              <w:t xml:space="preserve"> </w:t>
            </w:r>
            <w:r>
              <w:t xml:space="preserve">se nahaja na </w:t>
            </w:r>
            <w:r w:rsidR="001634D0">
              <w:t>spletn</w:t>
            </w:r>
            <w:r>
              <w:t>i</w:t>
            </w:r>
            <w:r w:rsidR="001634D0">
              <w:t xml:space="preserve"> stran SA</w:t>
            </w:r>
            <w:r w:rsidR="00521B5B">
              <w:t xml:space="preserve"> (vsebino SA redno posodablja)</w:t>
            </w:r>
            <w:r>
              <w:t>:</w:t>
            </w:r>
          </w:p>
          <w:p w14:paraId="1E663B89" w14:textId="77777777" w:rsidR="00600196" w:rsidRDefault="00600196" w:rsidP="001634D0"/>
          <w:p w14:paraId="5306B03D" w14:textId="77777777" w:rsidR="00AB3AAC" w:rsidRDefault="00FB2FB3" w:rsidP="00AB3AAC">
            <w:hyperlink r:id="rId19" w:history="1">
              <w:r w:rsidR="00AB3AAC" w:rsidRPr="006A53F6">
                <w:rPr>
                  <w:rStyle w:val="Hiperpovezava"/>
                </w:rPr>
                <w:t>http://www.slo-akreditacija.si/ocenjevalci/podrocja-ocenjevanja/kontrola/</w:t>
              </w:r>
            </w:hyperlink>
          </w:p>
          <w:p w14:paraId="42A3FA36" w14:textId="77777777" w:rsidR="00521B5B" w:rsidRDefault="00521B5B" w:rsidP="001634D0"/>
        </w:tc>
      </w:tr>
      <w:bookmarkEnd w:id="1"/>
      <w:tr w:rsidR="00521375" w14:paraId="6EC026A5" w14:textId="77777777" w:rsidTr="00BF4406">
        <w:trPr>
          <w:trHeight w:val="567"/>
          <w:jc w:val="center"/>
        </w:trPr>
        <w:tc>
          <w:tcPr>
            <w:tcW w:w="2972" w:type="dxa"/>
          </w:tcPr>
          <w:p w14:paraId="7815D70C" w14:textId="77777777" w:rsidR="00521375" w:rsidRPr="00521375" w:rsidRDefault="00521375" w:rsidP="00FA4CFE">
            <w:pPr>
              <w:rPr>
                <w:b/>
              </w:rPr>
            </w:pPr>
            <w:r w:rsidRPr="00521375">
              <w:rPr>
                <w:b/>
              </w:rPr>
              <w:t>Roki overitev</w:t>
            </w:r>
          </w:p>
        </w:tc>
        <w:tc>
          <w:tcPr>
            <w:tcW w:w="5690" w:type="dxa"/>
          </w:tcPr>
          <w:p w14:paraId="78E7F2A6" w14:textId="77777777" w:rsidR="00521375" w:rsidRDefault="00521375" w:rsidP="00EF0C88">
            <w:r>
              <w:t>Vprašanje uporabnika merila. Odgovor MIRS-a.</w:t>
            </w:r>
          </w:p>
        </w:tc>
        <w:tc>
          <w:tcPr>
            <w:tcW w:w="7040" w:type="dxa"/>
          </w:tcPr>
          <w:p w14:paraId="7554BDEB" w14:textId="77777777" w:rsidR="00521375" w:rsidRDefault="00521375" w:rsidP="00FA4CFE">
            <w:r>
              <w:t>R</w:t>
            </w:r>
            <w:r w:rsidRPr="00521375">
              <w:t>oki overitev določa</w:t>
            </w:r>
            <w:r>
              <w:t xml:space="preserve"> </w:t>
            </w:r>
            <w:r w:rsidRPr="00521375">
              <w:t>Pravilnik o postopku overitve meril</w:t>
            </w:r>
            <w:r>
              <w:t>,</w:t>
            </w:r>
            <w:r w:rsidRPr="00521375">
              <w:t xml:space="preserve"> Ur. list RS, št. 97/14, 6. člen</w:t>
            </w:r>
            <w:r>
              <w:t xml:space="preserve"> </w:t>
            </w:r>
            <w:hyperlink r:id="rId20" w:history="1">
              <w:r w:rsidRPr="00A32033">
                <w:rPr>
                  <w:rStyle w:val="Hiperpovezava"/>
                </w:rPr>
                <w:t>http://www.pisrs.si/Pis.web/pregledPredpisa?id=PRAV12213</w:t>
              </w:r>
            </w:hyperlink>
            <w:r w:rsidRPr="00521375">
              <w:t xml:space="preserve"> </w:t>
            </w:r>
          </w:p>
          <w:p w14:paraId="4F06C4B3" w14:textId="77777777" w:rsidR="00521375" w:rsidRDefault="00521375" w:rsidP="00FA4CFE">
            <w:r w:rsidRPr="00521375">
              <w:t xml:space="preserve">Veljavnost overitve se določi tako, da se datumu overitve prišteje rok overitve. </w:t>
            </w:r>
          </w:p>
          <w:p w14:paraId="51B4E942" w14:textId="77777777" w:rsidR="00521375" w:rsidRDefault="00521375" w:rsidP="00FA4CFE">
            <w:r>
              <w:t xml:space="preserve">- </w:t>
            </w:r>
            <w:r w:rsidRPr="00521375">
              <w:t xml:space="preserve">Če je rok overitve krajši od 5 let, overitev velja </w:t>
            </w:r>
            <w:r w:rsidRPr="00A32C52">
              <w:rPr>
                <w:b/>
              </w:rPr>
              <w:t>do konca meseca</w:t>
            </w:r>
            <w:r w:rsidRPr="00521375">
              <w:t xml:space="preserve">, v katerem se izteče rok overitve. </w:t>
            </w:r>
          </w:p>
          <w:p w14:paraId="614D54EE" w14:textId="6B0CC8D3" w:rsidR="00A32C52" w:rsidRPr="00521375" w:rsidRDefault="00521375" w:rsidP="00FA4CFE">
            <w:r>
              <w:t xml:space="preserve">- </w:t>
            </w:r>
            <w:r w:rsidRPr="00521375">
              <w:t xml:space="preserve">Če je rok overitve enak ali daljši od 5 let, overitev velja </w:t>
            </w:r>
            <w:r w:rsidRPr="00A32C52">
              <w:rPr>
                <w:b/>
              </w:rPr>
              <w:t>do konca leta</w:t>
            </w:r>
            <w:r w:rsidRPr="00521375">
              <w:t>, v katerem se izteče rok overitve.</w:t>
            </w:r>
          </w:p>
        </w:tc>
      </w:tr>
      <w:tr w:rsidR="00105E66" w14:paraId="6E64BC93" w14:textId="77777777" w:rsidTr="00BF4406">
        <w:trPr>
          <w:trHeight w:val="567"/>
          <w:jc w:val="center"/>
        </w:trPr>
        <w:tc>
          <w:tcPr>
            <w:tcW w:w="2972" w:type="dxa"/>
          </w:tcPr>
          <w:p w14:paraId="0BE2BB76" w14:textId="620BC4A4" w:rsidR="00105E66" w:rsidRPr="00521375" w:rsidRDefault="00105E66" w:rsidP="00FA4CFE">
            <w:pPr>
              <w:rPr>
                <w:b/>
              </w:rPr>
            </w:pPr>
            <w:r>
              <w:rPr>
                <w:b/>
              </w:rPr>
              <w:t xml:space="preserve">Kontrolor </w:t>
            </w:r>
            <w:r w:rsidR="00084617">
              <w:rPr>
                <w:b/>
              </w:rPr>
              <w:t>je hkrati serviser primerka za kontrolo</w:t>
            </w:r>
          </w:p>
        </w:tc>
        <w:tc>
          <w:tcPr>
            <w:tcW w:w="5690" w:type="dxa"/>
          </w:tcPr>
          <w:p w14:paraId="45177BA0" w14:textId="30EE89DC" w:rsidR="00BF4406" w:rsidRDefault="00BF4406" w:rsidP="00EF0C88">
            <w:r>
              <w:t>Opaženo pri nadzoru MIRS-a:</w:t>
            </w:r>
          </w:p>
          <w:p w14:paraId="143E4EE0" w14:textId="3F6B0255" w:rsidR="00105E66" w:rsidRDefault="00BF4406" w:rsidP="00EF0C88">
            <w:r>
              <w:t>o</w:t>
            </w:r>
            <w:r w:rsidR="00084617">
              <w:t>seb</w:t>
            </w:r>
            <w:r w:rsidR="001E5885">
              <w:t>je kontrolnega organa istočasno dela v drugi organizaciji, kjer servisira (vzdržuje)</w:t>
            </w:r>
            <w:r w:rsidR="00084617">
              <w:t xml:space="preserve"> </w:t>
            </w:r>
            <w:r w:rsidR="001E5885">
              <w:t>predmete kontrole, ki jih nato v kontrolnem organu kontrolira/overi.</w:t>
            </w:r>
          </w:p>
        </w:tc>
        <w:tc>
          <w:tcPr>
            <w:tcW w:w="7040" w:type="dxa"/>
          </w:tcPr>
          <w:p w14:paraId="61A1E248" w14:textId="0241D437" w:rsidR="00084617" w:rsidRDefault="00084617" w:rsidP="00FA4CFE">
            <w:r w:rsidRPr="001E5885">
              <w:rPr>
                <w:b/>
                <w:bCs/>
              </w:rPr>
              <w:t>Gre za neskladje</w:t>
            </w:r>
            <w:r>
              <w:t xml:space="preserve"> z zahtev</w:t>
            </w:r>
            <w:r w:rsidR="001E5885">
              <w:t xml:space="preserve">ami normativnega dodatka A </w:t>
            </w:r>
            <w:r>
              <w:t>standarda ISO/IEC 17020</w:t>
            </w:r>
            <w:r w:rsidR="001E5885">
              <w:t>:2012</w:t>
            </w:r>
            <w:r>
              <w:t>, kot tudi z</w:t>
            </w:r>
            <w:r w:rsidR="001E5885">
              <w:t>a neskladje s</w:t>
            </w:r>
            <w:r>
              <w:t xml:space="preserve"> </w:t>
            </w:r>
            <w:hyperlink r:id="rId21" w:history="1">
              <w:r w:rsidR="001E5885" w:rsidRPr="001E5885">
                <w:rPr>
                  <w:rStyle w:val="Hiperpovezava"/>
                </w:rPr>
                <w:t>Pravilnikom o zahtevah, postopku imenovanja, nalogah in nadzoru imenovanih oseb na področju meroslovja; 3. člen</w:t>
              </w:r>
            </w:hyperlink>
            <w:r w:rsidR="001E5885">
              <w:t xml:space="preserve">. </w:t>
            </w:r>
          </w:p>
          <w:p w14:paraId="77DEE8E4" w14:textId="3D6C0162" w:rsidR="001E5885" w:rsidRDefault="001E5885" w:rsidP="00FA4CFE">
            <w:r>
              <w:t>»</w:t>
            </w:r>
            <w:r w:rsidRPr="001E5885">
              <w:t>Če osebje imenovane osebe istočasno dela tudi v drugi organizaciji, ki se ukvarja z načrtovanjem, proizvodnjo, dobavo, montažo, uporabo ali vzdrževanjem meril, ki jih imenovana oseba overja, mora imenovana oseba zagotoviti in dokazati, da njeno osebje v tej organizaciji ne sodeluje pri načrtovanju, proizvodnji, dobavi, montaži, uporabi ali vzdrževanju teh meril.</w:t>
            </w:r>
            <w:r>
              <w:t>«</w:t>
            </w:r>
          </w:p>
          <w:p w14:paraId="737DD3C8" w14:textId="77777777" w:rsidR="000F01D1" w:rsidRDefault="000F01D1" w:rsidP="00FA4CFE"/>
          <w:p w14:paraId="26CFCDF5" w14:textId="3AFA7E64" w:rsidR="00BF4406" w:rsidRDefault="00084617" w:rsidP="00FA4CFE">
            <w:r>
              <w:t xml:space="preserve">Situacijo je pri ocenjevanjih težko identificirati, saj </w:t>
            </w:r>
            <w:r w:rsidR="000F01D1">
              <w:t xml:space="preserve">dejavnost </w:t>
            </w:r>
            <w:r>
              <w:t>servisiranj</w:t>
            </w:r>
            <w:r w:rsidR="000F01D1">
              <w:t>a</w:t>
            </w:r>
            <w:r>
              <w:t xml:space="preserve"> </w:t>
            </w:r>
            <w:r w:rsidR="000F01D1">
              <w:t xml:space="preserve">(vzdrževanje) </w:t>
            </w:r>
            <w:r w:rsidR="001E5885">
              <w:t>ni predmet ocenjevanja, še posebej, če se odvija v drugi organizaciji.</w:t>
            </w:r>
            <w:r w:rsidR="000F01D1">
              <w:t xml:space="preserve"> </w:t>
            </w:r>
          </w:p>
          <w:p w14:paraId="36CFA71C" w14:textId="77777777" w:rsidR="00BF4406" w:rsidRDefault="00BF4406" w:rsidP="00FA4CFE"/>
          <w:p w14:paraId="57A1E9E5" w14:textId="133031FD" w:rsidR="001E5885" w:rsidRDefault="000F01D1" w:rsidP="00FA4CFE">
            <w:r>
              <w:t>Ocenjevalci naj morebitne tovrstne povezave raziščejo</w:t>
            </w:r>
            <w:r w:rsidR="00BF4406">
              <w:t xml:space="preserve">: posebno pozornost je potrebno posvetiti </w:t>
            </w:r>
            <w:r>
              <w:t>IO/KO-j</w:t>
            </w:r>
            <w:r w:rsidR="00BF4406">
              <w:t>em</w:t>
            </w:r>
            <w:r>
              <w:t xml:space="preserve">, kjer je poznano, da je osebje vključeno v </w:t>
            </w:r>
            <w:r w:rsidR="00BF4406">
              <w:t xml:space="preserve">delo v </w:t>
            </w:r>
            <w:r>
              <w:t>več organizacij</w:t>
            </w:r>
            <w:r w:rsidR="00BF4406">
              <w:t>ah.</w:t>
            </w:r>
          </w:p>
          <w:p w14:paraId="356492E9" w14:textId="3D328EED" w:rsidR="000F01D1" w:rsidRDefault="000F01D1" w:rsidP="00FA4CFE"/>
        </w:tc>
      </w:tr>
      <w:tr w:rsidR="00B44CE3" w14:paraId="3F7FBCDB" w14:textId="77777777" w:rsidTr="00BF4406">
        <w:trPr>
          <w:trHeight w:val="567"/>
          <w:jc w:val="center"/>
        </w:trPr>
        <w:tc>
          <w:tcPr>
            <w:tcW w:w="2972" w:type="dxa"/>
          </w:tcPr>
          <w:p w14:paraId="7FF3196B" w14:textId="2AB716E3" w:rsidR="00B44CE3" w:rsidRDefault="00B44CE3" w:rsidP="00FA4CFE">
            <w:pPr>
              <w:rPr>
                <w:b/>
              </w:rPr>
            </w:pPr>
            <w:r>
              <w:rPr>
                <w:b/>
              </w:rPr>
              <w:t>Sklicevanje na akreditacijo na potrdilih o skladnosti (POS)</w:t>
            </w:r>
          </w:p>
        </w:tc>
        <w:tc>
          <w:tcPr>
            <w:tcW w:w="5690" w:type="dxa"/>
          </w:tcPr>
          <w:p w14:paraId="2C23262B" w14:textId="7E83BDC9" w:rsidR="00B44CE3" w:rsidRDefault="00B44CE3" w:rsidP="00EF0C88">
            <w:r>
              <w:t>Ali je dopusten sklic na akreditacijo na Potrdilu o skladnosti (POS)?</w:t>
            </w:r>
          </w:p>
        </w:tc>
        <w:tc>
          <w:tcPr>
            <w:tcW w:w="7040" w:type="dxa"/>
          </w:tcPr>
          <w:p w14:paraId="39F85264" w14:textId="77777777" w:rsidR="00B44CE3" w:rsidRDefault="00B44CE3" w:rsidP="00FA4CFE">
            <w:pPr>
              <w:rPr>
                <w:b/>
                <w:bCs/>
              </w:rPr>
            </w:pPr>
            <w:r>
              <w:rPr>
                <w:b/>
                <w:bCs/>
              </w:rPr>
              <w:t>Sklic na akreditacijo ni dopusten:</w:t>
            </w:r>
          </w:p>
          <w:p w14:paraId="3DFBCB53" w14:textId="3259A9FB" w:rsidR="00D76EA1" w:rsidRDefault="00D76EA1" w:rsidP="00D76EA1">
            <w:r w:rsidRPr="00D76EA1">
              <w:t>6. odstav</w:t>
            </w:r>
            <w:r>
              <w:t>e</w:t>
            </w:r>
            <w:r w:rsidRPr="00D76EA1">
              <w:t>k 7. člena Pravilnika o postopku overitve meril (Uradni list RS, št. 97/14)</w:t>
            </w:r>
            <w:r w:rsidRPr="00D76EA1">
              <w:t>:</w:t>
            </w:r>
          </w:p>
          <w:p w14:paraId="34DAC026" w14:textId="77777777" w:rsidR="00D76EA1" w:rsidRPr="00D76EA1" w:rsidRDefault="00D76EA1" w:rsidP="00D76EA1"/>
          <w:p w14:paraId="7FB3F6B5" w14:textId="77777777" w:rsidR="00D76EA1" w:rsidRPr="00D76EA1" w:rsidRDefault="00D76EA1" w:rsidP="00D76EA1">
            <w:r w:rsidRPr="00D76EA1">
              <w:t xml:space="preserve">7. člen </w:t>
            </w:r>
          </w:p>
          <w:p w14:paraId="155700E5" w14:textId="77777777" w:rsidR="00B44CE3" w:rsidRPr="00D76EA1" w:rsidRDefault="00D76EA1" w:rsidP="00D76EA1">
            <w:r w:rsidRPr="00D76EA1">
              <w:t>(6) Na POS navajanje logotipov, razen logotipa izdajatelja, ni dovoljeno.</w:t>
            </w:r>
          </w:p>
          <w:p w14:paraId="5B7C02AE" w14:textId="3D26D21A" w:rsidR="00D76EA1" w:rsidRPr="001E5885" w:rsidRDefault="00D76EA1" w:rsidP="00D76EA1">
            <w:pPr>
              <w:rPr>
                <w:b/>
                <w:bCs/>
              </w:rPr>
            </w:pPr>
          </w:p>
        </w:tc>
      </w:tr>
    </w:tbl>
    <w:p w14:paraId="214D32E6" w14:textId="0DF2F7FA" w:rsidR="001309D6" w:rsidRDefault="001309D6" w:rsidP="00B60365">
      <w:pPr>
        <w:rPr>
          <w:sz w:val="24"/>
        </w:rPr>
      </w:pPr>
    </w:p>
    <w:p w14:paraId="3D1FFB7A" w14:textId="0EFF4001" w:rsidR="009A0F7F" w:rsidRDefault="009A0F7F" w:rsidP="00B60365">
      <w:pPr>
        <w:rPr>
          <w:sz w:val="24"/>
        </w:rPr>
      </w:pPr>
    </w:p>
    <w:p w14:paraId="7147212E" w14:textId="53C8BC5F" w:rsidR="009A0F7F" w:rsidRDefault="009A0F7F" w:rsidP="00B60365">
      <w:pPr>
        <w:rPr>
          <w:sz w:val="24"/>
        </w:rPr>
      </w:pPr>
      <w:r>
        <w:rPr>
          <w:sz w:val="24"/>
        </w:rPr>
        <w:t xml:space="preserve">zadnjič posodobljeno </w:t>
      </w:r>
      <w:r w:rsidR="00B44CE3">
        <w:rPr>
          <w:sz w:val="24"/>
        </w:rPr>
        <w:t>25</w:t>
      </w:r>
      <w:r w:rsidR="00152A2C">
        <w:rPr>
          <w:sz w:val="24"/>
        </w:rPr>
        <w:t xml:space="preserve">. </w:t>
      </w:r>
      <w:r w:rsidR="00B44CE3">
        <w:rPr>
          <w:sz w:val="24"/>
        </w:rPr>
        <w:t>maj 2021</w:t>
      </w:r>
    </w:p>
    <w:p w14:paraId="47369301" w14:textId="13B26F86" w:rsidR="009A0F7F" w:rsidRDefault="009A0F7F" w:rsidP="00B60365">
      <w:pPr>
        <w:rPr>
          <w:sz w:val="24"/>
        </w:rPr>
      </w:pPr>
    </w:p>
    <w:p w14:paraId="3F6D1935" w14:textId="77777777" w:rsidR="009A0F7F" w:rsidRPr="00BC56D1" w:rsidRDefault="009A0F7F" w:rsidP="00B60365">
      <w:pPr>
        <w:rPr>
          <w:sz w:val="24"/>
        </w:rPr>
      </w:pPr>
    </w:p>
    <w:sectPr w:rsidR="009A0F7F" w:rsidRPr="00BC56D1" w:rsidSect="000F01D1">
      <w:footerReference w:type="default" r:id="rId22"/>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1D47" w14:textId="77777777" w:rsidR="00FB2FB3" w:rsidRDefault="00FB2FB3" w:rsidP="006E51B3">
      <w:pPr>
        <w:spacing w:after="0" w:line="240" w:lineRule="auto"/>
      </w:pPr>
      <w:r>
        <w:separator/>
      </w:r>
    </w:p>
  </w:endnote>
  <w:endnote w:type="continuationSeparator" w:id="0">
    <w:p w14:paraId="2F4C4483" w14:textId="77777777" w:rsidR="00FB2FB3" w:rsidRDefault="00FB2FB3" w:rsidP="006E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07826"/>
      <w:docPartObj>
        <w:docPartGallery w:val="Page Numbers (Bottom of Page)"/>
        <w:docPartUnique/>
      </w:docPartObj>
    </w:sdtPr>
    <w:sdtEndPr/>
    <w:sdtContent>
      <w:p w14:paraId="29A6599A" w14:textId="77777777" w:rsidR="006E51B3" w:rsidRDefault="006E51B3">
        <w:pPr>
          <w:pStyle w:val="Noga"/>
          <w:jc w:val="right"/>
        </w:pPr>
        <w:r>
          <w:fldChar w:fldCharType="begin"/>
        </w:r>
        <w:r>
          <w:instrText>PAGE   \* MERGEFORMAT</w:instrText>
        </w:r>
        <w:r>
          <w:fldChar w:fldCharType="separate"/>
        </w:r>
        <w:r>
          <w:t>2</w:t>
        </w:r>
        <w:r>
          <w:fldChar w:fldCharType="end"/>
        </w:r>
      </w:p>
    </w:sdtContent>
  </w:sdt>
  <w:p w14:paraId="6DC83DB0" w14:textId="77777777" w:rsidR="006E51B3" w:rsidRDefault="006E51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039A" w14:textId="77777777" w:rsidR="00FB2FB3" w:rsidRDefault="00FB2FB3" w:rsidP="006E51B3">
      <w:pPr>
        <w:spacing w:after="0" w:line="240" w:lineRule="auto"/>
      </w:pPr>
      <w:r>
        <w:separator/>
      </w:r>
    </w:p>
  </w:footnote>
  <w:footnote w:type="continuationSeparator" w:id="0">
    <w:p w14:paraId="6E724DDF" w14:textId="77777777" w:rsidR="00FB2FB3" w:rsidRDefault="00FB2FB3" w:rsidP="006E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E1"/>
    <w:multiLevelType w:val="hybridMultilevel"/>
    <w:tmpl w:val="DA4E998E"/>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2F6578A5"/>
    <w:multiLevelType w:val="hybridMultilevel"/>
    <w:tmpl w:val="B9AA2F92"/>
    <w:lvl w:ilvl="0" w:tplc="5E6CADB6">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31332648"/>
    <w:multiLevelType w:val="hybridMultilevel"/>
    <w:tmpl w:val="67DAA380"/>
    <w:lvl w:ilvl="0" w:tplc="FB7A050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3A98108B"/>
    <w:multiLevelType w:val="hybridMultilevel"/>
    <w:tmpl w:val="F9E68262"/>
    <w:lvl w:ilvl="0" w:tplc="09F08C76">
      <w:start w:val="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421557B3"/>
    <w:multiLevelType w:val="hybridMultilevel"/>
    <w:tmpl w:val="6B52B8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EF1D3B"/>
    <w:multiLevelType w:val="hybridMultilevel"/>
    <w:tmpl w:val="281E6272"/>
    <w:lvl w:ilvl="0" w:tplc="04240017">
      <w:start w:val="1"/>
      <w:numFmt w:val="lowerLetter"/>
      <w:lvlText w:val="%1)"/>
      <w:lvlJc w:val="left"/>
      <w:pPr>
        <w:ind w:left="360" w:hanging="360"/>
      </w:pPr>
    </w:lvl>
    <w:lvl w:ilvl="1" w:tplc="17022516">
      <w:start w:val="2"/>
      <w:numFmt w:val="bullet"/>
      <w:lvlText w:val="-"/>
      <w:lvlJc w:val="left"/>
      <w:pPr>
        <w:ind w:left="1080" w:hanging="360"/>
      </w:pPr>
      <w:rPr>
        <w:rFonts w:ascii="Calibri" w:eastAsiaTheme="minorHAnsi"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AC933D7"/>
    <w:multiLevelType w:val="hybridMultilevel"/>
    <w:tmpl w:val="09185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6B14A9"/>
    <w:multiLevelType w:val="hybridMultilevel"/>
    <w:tmpl w:val="9DCC16D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F6"/>
    <w:rsid w:val="00084617"/>
    <w:rsid w:val="000B1649"/>
    <w:rsid w:val="000B3553"/>
    <w:rsid w:val="000C4BF3"/>
    <w:rsid w:val="000D7425"/>
    <w:rsid w:val="000E6D36"/>
    <w:rsid w:val="000F01D1"/>
    <w:rsid w:val="00105E66"/>
    <w:rsid w:val="001309D6"/>
    <w:rsid w:val="00152A2C"/>
    <w:rsid w:val="00154A58"/>
    <w:rsid w:val="001634D0"/>
    <w:rsid w:val="001673D1"/>
    <w:rsid w:val="00184E4D"/>
    <w:rsid w:val="001957B5"/>
    <w:rsid w:val="001A498F"/>
    <w:rsid w:val="001B7F36"/>
    <w:rsid w:val="001D1DC4"/>
    <w:rsid w:val="001E5885"/>
    <w:rsid w:val="00212F9F"/>
    <w:rsid w:val="002178D7"/>
    <w:rsid w:val="00241F14"/>
    <w:rsid w:val="002E3C8D"/>
    <w:rsid w:val="00326EE8"/>
    <w:rsid w:val="003469D7"/>
    <w:rsid w:val="00370ABA"/>
    <w:rsid w:val="003B7E0C"/>
    <w:rsid w:val="003B7EBE"/>
    <w:rsid w:val="003F6652"/>
    <w:rsid w:val="0040749E"/>
    <w:rsid w:val="00434820"/>
    <w:rsid w:val="004537D0"/>
    <w:rsid w:val="00472BB4"/>
    <w:rsid w:val="004A2FDE"/>
    <w:rsid w:val="004B07BF"/>
    <w:rsid w:val="004B6FF9"/>
    <w:rsid w:val="00503D16"/>
    <w:rsid w:val="00521375"/>
    <w:rsid w:val="00521B5B"/>
    <w:rsid w:val="0056379F"/>
    <w:rsid w:val="005B555E"/>
    <w:rsid w:val="00600196"/>
    <w:rsid w:val="00685A39"/>
    <w:rsid w:val="006A25ED"/>
    <w:rsid w:val="006B45A3"/>
    <w:rsid w:val="006E51B3"/>
    <w:rsid w:val="006F4063"/>
    <w:rsid w:val="00720F88"/>
    <w:rsid w:val="0073156F"/>
    <w:rsid w:val="00736678"/>
    <w:rsid w:val="00831E47"/>
    <w:rsid w:val="00836816"/>
    <w:rsid w:val="0088342A"/>
    <w:rsid w:val="008B0474"/>
    <w:rsid w:val="0093478F"/>
    <w:rsid w:val="00987065"/>
    <w:rsid w:val="009A0F7F"/>
    <w:rsid w:val="009D5220"/>
    <w:rsid w:val="009F54AB"/>
    <w:rsid w:val="00A00748"/>
    <w:rsid w:val="00A01386"/>
    <w:rsid w:val="00A1516C"/>
    <w:rsid w:val="00A32C52"/>
    <w:rsid w:val="00AB3AAC"/>
    <w:rsid w:val="00B44CE3"/>
    <w:rsid w:val="00B60365"/>
    <w:rsid w:val="00B76B92"/>
    <w:rsid w:val="00B868E1"/>
    <w:rsid w:val="00B876B2"/>
    <w:rsid w:val="00BC2EF6"/>
    <w:rsid w:val="00BC56D1"/>
    <w:rsid w:val="00BD462F"/>
    <w:rsid w:val="00BE343C"/>
    <w:rsid w:val="00BF4406"/>
    <w:rsid w:val="00C10F29"/>
    <w:rsid w:val="00C65574"/>
    <w:rsid w:val="00C8348D"/>
    <w:rsid w:val="00CC4957"/>
    <w:rsid w:val="00CD0E02"/>
    <w:rsid w:val="00D07935"/>
    <w:rsid w:val="00D33EA3"/>
    <w:rsid w:val="00D51117"/>
    <w:rsid w:val="00D66953"/>
    <w:rsid w:val="00D76EA1"/>
    <w:rsid w:val="00DF3D83"/>
    <w:rsid w:val="00E13462"/>
    <w:rsid w:val="00E240D4"/>
    <w:rsid w:val="00EB6E1E"/>
    <w:rsid w:val="00ED6D24"/>
    <w:rsid w:val="00EE1178"/>
    <w:rsid w:val="00EF0C88"/>
    <w:rsid w:val="00EF2F79"/>
    <w:rsid w:val="00F525A2"/>
    <w:rsid w:val="00FB2FB3"/>
    <w:rsid w:val="00FD1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9E13"/>
  <w15:docId w15:val="{63B799EF-E2E6-4FD9-ACDD-CF5410E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C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4BF3"/>
    <w:rPr>
      <w:color w:val="0563C1" w:themeColor="hyperlink"/>
      <w:u w:val="single"/>
    </w:rPr>
  </w:style>
  <w:style w:type="character" w:customStyle="1" w:styleId="Nerazreenaomemba1">
    <w:name w:val="Nerazrešena omemba1"/>
    <w:basedOn w:val="Privzetapisavaodstavka"/>
    <w:uiPriority w:val="99"/>
    <w:semiHidden/>
    <w:unhideWhenUsed/>
    <w:rsid w:val="000C4BF3"/>
    <w:rPr>
      <w:color w:val="808080"/>
      <w:shd w:val="clear" w:color="auto" w:fill="E6E6E6"/>
    </w:rPr>
  </w:style>
  <w:style w:type="character" w:styleId="SledenaHiperpovezava">
    <w:name w:val="FollowedHyperlink"/>
    <w:basedOn w:val="Privzetapisavaodstavka"/>
    <w:uiPriority w:val="99"/>
    <w:semiHidden/>
    <w:unhideWhenUsed/>
    <w:rsid w:val="00472BB4"/>
    <w:rPr>
      <w:color w:val="954F72" w:themeColor="followedHyperlink"/>
      <w:u w:val="single"/>
    </w:rPr>
  </w:style>
  <w:style w:type="paragraph" w:styleId="Besedilooblaka">
    <w:name w:val="Balloon Text"/>
    <w:basedOn w:val="Navaden"/>
    <w:link w:val="BesedilooblakaZnak"/>
    <w:uiPriority w:val="99"/>
    <w:semiHidden/>
    <w:unhideWhenUsed/>
    <w:rsid w:val="00154A5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4A58"/>
    <w:rPr>
      <w:rFonts w:ascii="Segoe UI" w:hAnsi="Segoe UI" w:cs="Segoe UI"/>
      <w:sz w:val="18"/>
      <w:szCs w:val="18"/>
    </w:rPr>
  </w:style>
  <w:style w:type="paragraph" w:styleId="Odstavekseznama">
    <w:name w:val="List Paragraph"/>
    <w:basedOn w:val="Navaden"/>
    <w:uiPriority w:val="34"/>
    <w:qFormat/>
    <w:rsid w:val="00EF0C88"/>
    <w:pPr>
      <w:ind w:left="720"/>
      <w:contextualSpacing/>
    </w:pPr>
  </w:style>
  <w:style w:type="character" w:customStyle="1" w:styleId="Nerazreenaomemba2">
    <w:name w:val="Nerazrešena omemba2"/>
    <w:basedOn w:val="Privzetapisavaodstavka"/>
    <w:uiPriority w:val="99"/>
    <w:semiHidden/>
    <w:unhideWhenUsed/>
    <w:rsid w:val="00EF0C88"/>
    <w:rPr>
      <w:color w:val="605E5C"/>
      <w:shd w:val="clear" w:color="auto" w:fill="E1DFDD"/>
    </w:rPr>
  </w:style>
  <w:style w:type="character" w:styleId="Pripombasklic">
    <w:name w:val="annotation reference"/>
    <w:basedOn w:val="Privzetapisavaodstavka"/>
    <w:uiPriority w:val="99"/>
    <w:semiHidden/>
    <w:unhideWhenUsed/>
    <w:rsid w:val="002E3C8D"/>
    <w:rPr>
      <w:sz w:val="16"/>
      <w:szCs w:val="16"/>
    </w:rPr>
  </w:style>
  <w:style w:type="paragraph" w:styleId="Pripombabesedilo">
    <w:name w:val="annotation text"/>
    <w:basedOn w:val="Navaden"/>
    <w:link w:val="PripombabesediloZnak"/>
    <w:uiPriority w:val="99"/>
    <w:semiHidden/>
    <w:unhideWhenUsed/>
    <w:rsid w:val="002E3C8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3C8D"/>
    <w:rPr>
      <w:sz w:val="20"/>
      <w:szCs w:val="20"/>
    </w:rPr>
  </w:style>
  <w:style w:type="paragraph" w:styleId="Zadevapripombe">
    <w:name w:val="annotation subject"/>
    <w:basedOn w:val="Pripombabesedilo"/>
    <w:next w:val="Pripombabesedilo"/>
    <w:link w:val="ZadevapripombeZnak"/>
    <w:uiPriority w:val="99"/>
    <w:semiHidden/>
    <w:unhideWhenUsed/>
    <w:rsid w:val="002E3C8D"/>
    <w:rPr>
      <w:b/>
      <w:bCs/>
    </w:rPr>
  </w:style>
  <w:style w:type="character" w:customStyle="1" w:styleId="ZadevapripombeZnak">
    <w:name w:val="Zadeva pripombe Znak"/>
    <w:basedOn w:val="PripombabesediloZnak"/>
    <w:link w:val="Zadevapripombe"/>
    <w:uiPriority w:val="99"/>
    <w:semiHidden/>
    <w:rsid w:val="002E3C8D"/>
    <w:rPr>
      <w:b/>
      <w:bCs/>
      <w:sz w:val="20"/>
      <w:szCs w:val="20"/>
    </w:rPr>
  </w:style>
  <w:style w:type="character" w:styleId="Nerazreenaomemba">
    <w:name w:val="Unresolved Mention"/>
    <w:basedOn w:val="Privzetapisavaodstavka"/>
    <w:uiPriority w:val="99"/>
    <w:semiHidden/>
    <w:unhideWhenUsed/>
    <w:rsid w:val="00B868E1"/>
    <w:rPr>
      <w:color w:val="605E5C"/>
      <w:shd w:val="clear" w:color="auto" w:fill="E1DFDD"/>
    </w:rPr>
  </w:style>
  <w:style w:type="paragraph" w:styleId="Glava">
    <w:name w:val="header"/>
    <w:basedOn w:val="Navaden"/>
    <w:link w:val="GlavaZnak"/>
    <w:uiPriority w:val="99"/>
    <w:unhideWhenUsed/>
    <w:rsid w:val="006E51B3"/>
    <w:pPr>
      <w:tabs>
        <w:tab w:val="center" w:pos="4536"/>
        <w:tab w:val="right" w:pos="9072"/>
      </w:tabs>
      <w:spacing w:after="0" w:line="240" w:lineRule="auto"/>
    </w:pPr>
  </w:style>
  <w:style w:type="character" w:customStyle="1" w:styleId="GlavaZnak">
    <w:name w:val="Glava Znak"/>
    <w:basedOn w:val="Privzetapisavaodstavka"/>
    <w:link w:val="Glava"/>
    <w:uiPriority w:val="99"/>
    <w:rsid w:val="006E51B3"/>
  </w:style>
  <w:style w:type="paragraph" w:styleId="Noga">
    <w:name w:val="footer"/>
    <w:basedOn w:val="Navaden"/>
    <w:link w:val="NogaZnak"/>
    <w:uiPriority w:val="99"/>
    <w:unhideWhenUsed/>
    <w:rsid w:val="006E51B3"/>
    <w:pPr>
      <w:tabs>
        <w:tab w:val="center" w:pos="4536"/>
        <w:tab w:val="right" w:pos="9072"/>
      </w:tabs>
      <w:spacing w:after="0" w:line="240" w:lineRule="auto"/>
    </w:pPr>
  </w:style>
  <w:style w:type="character" w:customStyle="1" w:styleId="NogaZnak">
    <w:name w:val="Noga Znak"/>
    <w:basedOn w:val="Privzetapisavaodstavka"/>
    <w:link w:val="Noga"/>
    <w:uiPriority w:val="99"/>
    <w:rsid w:val="006E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6617">
      <w:bodyDiv w:val="1"/>
      <w:marLeft w:val="0"/>
      <w:marRight w:val="0"/>
      <w:marTop w:val="0"/>
      <w:marBottom w:val="0"/>
      <w:divBdr>
        <w:top w:val="none" w:sz="0" w:space="0" w:color="auto"/>
        <w:left w:val="none" w:sz="0" w:space="0" w:color="auto"/>
        <w:bottom w:val="none" w:sz="0" w:space="0" w:color="auto"/>
        <w:right w:val="none" w:sz="0" w:space="0" w:color="auto"/>
      </w:divBdr>
    </w:div>
    <w:div w:id="892228502">
      <w:bodyDiv w:val="1"/>
      <w:marLeft w:val="0"/>
      <w:marRight w:val="0"/>
      <w:marTop w:val="0"/>
      <w:marBottom w:val="0"/>
      <w:divBdr>
        <w:top w:val="none" w:sz="0" w:space="0" w:color="auto"/>
        <w:left w:val="none" w:sz="0" w:space="0" w:color="auto"/>
        <w:bottom w:val="none" w:sz="0" w:space="0" w:color="auto"/>
        <w:right w:val="none" w:sz="0" w:space="0" w:color="auto"/>
      </w:divBdr>
    </w:div>
    <w:div w:id="1466311961">
      <w:bodyDiv w:val="1"/>
      <w:marLeft w:val="0"/>
      <w:marRight w:val="0"/>
      <w:marTop w:val="0"/>
      <w:marBottom w:val="0"/>
      <w:divBdr>
        <w:top w:val="none" w:sz="0" w:space="0" w:color="auto"/>
        <w:left w:val="none" w:sz="0" w:space="0" w:color="auto"/>
        <w:bottom w:val="none" w:sz="0" w:space="0" w:color="auto"/>
        <w:right w:val="none" w:sz="0" w:space="0" w:color="auto"/>
      </w:divBdr>
    </w:div>
    <w:div w:id="18258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5758" TargetMode="External"/><Relationship Id="rId13" Type="http://schemas.openxmlformats.org/officeDocument/2006/relationships/hyperlink" Target="http://www.pisrs.si/Pis.web/pregledPredpisa?id=PRAV12213" TargetMode="External"/><Relationship Id="rId18" Type="http://schemas.openxmlformats.org/officeDocument/2006/relationships/hyperlink" Target="http://www.slo-akreditacija.si/ocenjevalci/podrocja-ocenjevanja/kontrola/" TargetMode="External"/><Relationship Id="rId3" Type="http://schemas.openxmlformats.org/officeDocument/2006/relationships/settings" Target="settings.xml"/><Relationship Id="rId21" Type="http://schemas.openxmlformats.org/officeDocument/2006/relationships/hyperlink" Target="http://www.pisrs.si/Pis.web/pregledPredpisa?id=PRAV6274" TargetMode="External"/><Relationship Id="rId7" Type="http://schemas.openxmlformats.org/officeDocument/2006/relationships/hyperlink" Target="http://www.pisrs.si/Pis.web/pregledPredpisa?id=PRAV5758" TargetMode="External"/><Relationship Id="rId12" Type="http://schemas.openxmlformats.org/officeDocument/2006/relationships/hyperlink" Target="http://www.pisrs.si/Pis.web/pregledPredpisa?id=PRAV12213" TargetMode="External"/><Relationship Id="rId17" Type="http://schemas.openxmlformats.org/officeDocument/2006/relationships/hyperlink" Target="https://ilac.org/publications-and-resources/ilac-policy-series/" TargetMode="External"/><Relationship Id="rId2" Type="http://schemas.openxmlformats.org/officeDocument/2006/relationships/styles" Target="styles.xml"/><Relationship Id="rId16" Type="http://schemas.openxmlformats.org/officeDocument/2006/relationships/hyperlink" Target="http://www.slo-akreditacija.si/wp-content/uploads/2016/06/OA12-izd1-slo.pdf" TargetMode="External"/><Relationship Id="rId20" Type="http://schemas.openxmlformats.org/officeDocument/2006/relationships/hyperlink" Target="http://www.pisrs.si/Pis.web/pregledPredpisa?id=PRAV122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srs.si/Pis.web/pregledPredpisa?id=PRAV97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lo-akreditacija.si/wp-content/uploads/2016/06/OA02-izd5-slo.pdf" TargetMode="External"/><Relationship Id="rId23" Type="http://schemas.openxmlformats.org/officeDocument/2006/relationships/fontTable" Target="fontTable.xml"/><Relationship Id="rId10" Type="http://schemas.openxmlformats.org/officeDocument/2006/relationships/hyperlink" Target="http://pisrs.si/Pis.web/pregledPredpisa?id=PRAV12437" TargetMode="External"/><Relationship Id="rId19" Type="http://schemas.openxmlformats.org/officeDocument/2006/relationships/hyperlink" Target="http://www.slo-akreditacija.si/ocenjevalci/podrocja-ocenjevanja/kontrola/" TargetMode="External"/><Relationship Id="rId4" Type="http://schemas.openxmlformats.org/officeDocument/2006/relationships/webSettings" Target="webSettings.xml"/><Relationship Id="rId9" Type="http://schemas.openxmlformats.org/officeDocument/2006/relationships/hyperlink" Target="http://www.pisrs.si/Pis.web/pregledPredpisa?id=PRAV523" TargetMode="External"/><Relationship Id="rId14" Type="http://schemas.openxmlformats.org/officeDocument/2006/relationships/hyperlink" Target="http://www.pisrs.si/Pis.web/pregledPredpisa?id=ODRE148"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2938</Words>
  <Characters>16748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Verbovšek</dc:creator>
  <cp:keywords/>
  <dc:description/>
  <cp:lastModifiedBy>Marko Verbovšek</cp:lastModifiedBy>
  <cp:revision>2</cp:revision>
  <cp:lastPrinted>2019-04-09T09:33:00Z</cp:lastPrinted>
  <dcterms:created xsi:type="dcterms:W3CDTF">2021-05-25T10:12:00Z</dcterms:created>
  <dcterms:modified xsi:type="dcterms:W3CDTF">2021-05-25T10:12:00Z</dcterms:modified>
</cp:coreProperties>
</file>